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vAlign w:val="top"/>
          </w:tcPr>
          <w:p>
            <w:pPr>
              <w:spacing w:after="40" w:before="40"/>
              <w:jc w:val="left"/>
            </w:pPr>
            <w:r>
              <w:rPr>
                <w:rFonts w:ascii="Calibri" w:cs="Calibri" w:eastAsia="Calibri" w:hAnsi="Calibri"/>
                <w:b/>
                <w:bCs/>
                <w:color w:val="FFFFFF"/>
                <w:sz w:val="18"/>
                <w:szCs w:val="18"/>
              </w:rPr>
              <w:t xml:space="preserve">Fontys
Research Group on
Ethical Practice</w:t>
            </w:r>
          </w:p>
        </w:tc>
        <w:tc>
          <w:tcPr>
            <w:tcW w:type="dxa" w:w="6360"/>
            <w:gridSpan w:val="1"/>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vAlign w:val="top"/>
          </w:tcPr>
          <w:p>
            <w:pPr>
              <w:spacing w:after="40" w:before="40"/>
            </w:pPr>
            <w:r>
              <w:rPr>
                <w:rFonts w:ascii="Calibri" w:cs="Calibri" w:eastAsia="Calibri" w:hAnsi="Calibri"/>
                <w:b/>
                <w:bCs/>
                <w:color w:val="FFFFFF"/>
                <w:sz w:val="26"/>
                <w:szCs w:val="26"/>
              </w:rPr>
              <w:t xml:space="preserve">Leary's Rose</w:t>
            </w:r>
          </w:p>
          <w:p>
            <w:pPr>
              <w:spacing w:after="40" w:before="40"/>
            </w:pPr>
            <w:r>
              <w:rPr>
                <w:rFonts w:ascii="Calibri" w:cs="Calibri" w:eastAsia="Calibri" w:hAnsi="Calibri"/>
                <w:color w:val="CCDDEE"/>
                <w:sz w:val="18"/>
                <w:szCs w:val="18"/>
              </w:rPr>
              <w:t xml:space="preserve">Moral Craftsmanship Series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18"/>
                <w:szCs w:val="18"/>
              </w:rPr>
              <w:t xml:space="preserve">Name</w:t>
            </w:r>
          </w:p>
        </w:tc>
        <w:tc>
          <w:tcPr>
            <w:tcW w:type="dxa" w:w="234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18"/>
                <w:szCs w:val="18"/>
              </w:rPr>
              <w:t xml:space="preserve">Date</w:t>
            </w:r>
          </w:p>
        </w:tc>
        <w:tc>
          <w:tcPr>
            <w:tcW w:type="dxa" w:w="234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18"/>
                <w:szCs w:val="18"/>
              </w:rPr>
              <w:t xml:space="preserve">Programme</w:t>
            </w:r>
          </w:p>
        </w:tc>
        <w:tc>
          <w:tcPr>
            <w:tcW w:type="dxa" w:w="234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18"/>
                <w:szCs w:val="18"/>
              </w:rPr>
              <w:t xml:space="preserve">Class / Group</w:t>
            </w:r>
          </w:p>
        </w:tc>
      </w:tr>
      <w:tr>
        <w:tc>
          <w:tcPr>
            <w:tcW w:type="dxa" w:w="234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c>
          <w:tcPr>
            <w:tcW w:type="dxa" w:w="234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c>
          <w:tcPr>
            <w:tcW w:type="dxa" w:w="234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c>
          <w:tcPr>
            <w:tcW w:type="dxa" w:w="234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2"/>
                <w:szCs w:val="22"/>
              </w:rPr>
              <w:t xml:space="preserve">Interaction  ·  Power &amp; Connection  ·  Professional Communication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vAlign w:val="top"/>
          </w:tcPr>
          <w:p>
            <w:pPr>
              <w:spacing w:after="40" w:before="40"/>
            </w:pPr>
            <w:r>
              <w:rPr>
                <w:rFonts w:ascii="Calibri" w:cs="Calibri" w:eastAsia="Calibri" w:hAnsi="Calibri"/>
                <w:b/>
                <w:bCs/>
                <w:color w:val="FFFFFF"/>
                <w:sz w:val="22"/>
                <w:szCs w:val="22"/>
              </w:rPr>
              <w:t xml:space="preserve">1  </w:t>
            </w:r>
          </w:p>
          <w:p>
            <w:pPr>
              <w:spacing w:after="40" w:before="40"/>
            </w:pPr>
            <w:r>
              <w:rPr>
                <w:rFonts w:ascii="Calibri" w:cs="Calibri" w:eastAsia="Calibri" w:hAnsi="Calibri"/>
                <w:b/>
                <w:bCs/>
                <w:color w:val="FFFFFF"/>
                <w:sz w:val="22"/>
                <w:szCs w:val="22"/>
              </w:rPr>
              <w:t xml:space="preserve">Theoretical Background</w:t>
            </w:r>
          </w:p>
        </w:tc>
      </w:tr>
    </w:tbl>
    <w:p>
      <w:pPr>
        <w:spacing w:after="80" w:before="80"/>
      </w:pPr>
      <w:r>
        <w:t xml:space="preserve"/>
      </w:r>
    </w:p>
    <w:p>
      <w:pPr>
        <w:spacing w:after="60" w:before="60"/>
      </w:pPr>
      <w:r>
        <w:rPr>
          <w:rFonts w:ascii="Calibri" w:cs="Calibri" w:eastAsia="Calibri" w:hAnsi="Calibri"/>
          <w:b/>
          <w:bCs/>
          <w:color w:val="000000"/>
          <w:sz w:val="20"/>
          <w:szCs w:val="20"/>
        </w:rPr>
        <w:t xml:space="preserve">What is Leary's Rose?</w:t>
      </w:r>
    </w:p>
    <w:p>
      <w:pPr>
        <w:spacing w:after="60" w:before="60"/>
      </w:pPr>
      <w:r>
        <w:rPr>
          <w:rFonts w:ascii="Calibri" w:cs="Calibri" w:eastAsia="Calibri" w:hAnsi="Calibri"/>
          <w:b w:val="false"/>
          <w:bCs w:val="false"/>
          <w:color w:val="000000"/>
          <w:sz w:val="20"/>
          <w:szCs w:val="20"/>
        </w:rPr>
        <w:t xml:space="preserve">Leary's Rose is a model for interpersonal behaviour, developed by the American psychologist Timothy Leary in 1957. The model describes how people relate to each other based on two dimensions:</w:t>
      </w:r>
    </w:p>
    <w:p>
      <w:pPr>
        <w:pStyle w:val="ListParagraph"/>
        <w:numPr>
          <w:ilvl w:val="0"/>
          <w:numId w:val="2"/>
        </w:numPr>
        <w:spacing w:after="40" w:before="40"/>
      </w:pPr>
      <w:r>
        <w:rPr>
          <w:rFonts w:ascii="Calibri" w:cs="Calibri" w:eastAsia="Calibri" w:hAnsi="Calibri"/>
          <w:sz w:val="20"/>
          <w:szCs w:val="20"/>
        </w:rPr>
        <w:t xml:space="preserve">The vertical axis: Dominance ↔ Submission (ABOVE ↔ BELOW) — who decides, who follows</w:t>
      </w:r>
    </w:p>
    <w:p>
      <w:pPr>
        <w:pStyle w:val="ListParagraph"/>
        <w:numPr>
          <w:ilvl w:val="0"/>
          <w:numId w:val="2"/>
        </w:numPr>
        <w:spacing w:after="40" w:before="40"/>
      </w:pPr>
      <w:r>
        <w:rPr>
          <w:rFonts w:ascii="Calibri" w:cs="Calibri" w:eastAsia="Calibri" w:hAnsi="Calibri"/>
          <w:sz w:val="20"/>
          <w:szCs w:val="20"/>
        </w:rPr>
        <w:t xml:space="preserve">The horizontal axis: Connection ↔ Distance (TOGETHER ↔ AGAINST) — degree of approach or distance</w:t>
      </w:r>
    </w:p>
    <w:p>
      <w:pPr>
        <w:spacing w:after="80" w:before="80"/>
      </w:pPr>
      <w:r>
        <w:t xml:space="preserve"/>
      </w:r>
    </w:p>
    <w:p>
      <w:pPr>
        <w:spacing w:after="60" w:before="60"/>
      </w:pPr>
      <w:r>
        <w:rPr>
          <w:rFonts w:ascii="Calibri" w:cs="Calibri" w:eastAsia="Calibri" w:hAnsi="Calibri"/>
          <w:b w:val="false"/>
          <w:bCs w:val="false"/>
          <w:color w:val="000000"/>
          <w:sz w:val="20"/>
          <w:szCs w:val="20"/>
        </w:rPr>
        <w:t xml:space="preserve">From the combination of these two axes, eight behavioural positions emerge, together forming the "rose". The model has one central law that makes it particularly useful in professional contexts: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2"/>
                <w:szCs w:val="22"/>
              </w:rPr>
              <w:t xml:space="preserve">"Behaviour calls forth behaviour." Whoever displays ABOVE-behaviour provokes BELOW in the other — and vice versa. Whoever shows TOGETHER invites TOGETHER.</w:t>
            </w:r>
          </w:p>
        </w:tc>
      </w:tr>
    </w:tbl>
    <w:p>
      <w:pPr>
        <w:spacing w:after="80" w:before="80"/>
      </w:pPr>
      <w:r>
        <w:t xml:space="preserve"/>
      </w:r>
    </w:p>
    <w:p>
      <w:pPr>
        <w:spacing w:after="60" w:before="60"/>
      </w:pPr>
      <w:r>
        <w:rPr>
          <w:rFonts w:ascii="Calibri" w:cs="Calibri" w:eastAsia="Calibri" w:hAnsi="Calibri"/>
          <w:b/>
          <w:bCs/>
          <w:color w:val="000000"/>
          <w:sz w:val="20"/>
          <w:szCs w:val="20"/>
        </w:rPr>
        <w:t xml:space="preserve">The two axes in professional context</w:t>
      </w:r>
    </w:p>
    <w:p>
      <w:pPr>
        <w:spacing w:after="60" w:before="60"/>
      </w:pPr>
      <w:r>
        <w:rPr>
          <w:rFonts w:ascii="Calibri" w:cs="Calibri" w:eastAsia="Calibri" w:hAnsi="Calibri"/>
          <w:b w:val="false"/>
          <w:bCs w:val="false"/>
          <w:color w:val="000000"/>
          <w:sz w:val="20"/>
          <w:szCs w:val="20"/>
        </w:rPr>
        <w:t xml:space="preserve">As a care worker, HR professional or leader you constantly move across the Rose. The art is to consciously choose which position suits which situation — and to recognise when you unconsciously fall into a pattern that is not helpful.</w:t>
      </w:r>
    </w:p>
    <w:p>
      <w:pPr>
        <w:pStyle w:val="ListParagraph"/>
        <w:numPr>
          <w:ilvl w:val="0"/>
          <w:numId w:val="2"/>
        </w:numPr>
        <w:spacing w:after="40" w:before="40"/>
      </w:pPr>
      <w:r>
        <w:rPr>
          <w:rFonts w:ascii="Calibri" w:cs="Calibri" w:eastAsia="Calibri" w:hAnsi="Calibri"/>
          <w:sz w:val="20"/>
          <w:szCs w:val="20"/>
        </w:rPr>
        <w:t xml:space="preserve">ABOVE-behaviour can be helpful (providing structure, giving clarity) but can also unnecessarily create dependency</w:t>
      </w:r>
    </w:p>
    <w:p>
      <w:pPr>
        <w:pStyle w:val="ListParagraph"/>
        <w:numPr>
          <w:ilvl w:val="0"/>
          <w:numId w:val="2"/>
        </w:numPr>
        <w:spacing w:after="40" w:before="40"/>
      </w:pPr>
      <w:r>
        <w:rPr>
          <w:rFonts w:ascii="Calibri" w:cs="Calibri" w:eastAsia="Calibri" w:hAnsi="Calibri"/>
          <w:sz w:val="20"/>
          <w:szCs w:val="20"/>
        </w:rPr>
        <w:t xml:space="preserve">BELOW-behaviour can be respectful (giving space) but can also signal loss of authority or lack of guidance</w:t>
      </w:r>
    </w:p>
    <w:p>
      <w:pPr>
        <w:pStyle w:val="ListParagraph"/>
        <w:numPr>
          <w:ilvl w:val="0"/>
          <w:numId w:val="2"/>
        </w:numPr>
        <w:spacing w:after="40" w:before="40"/>
      </w:pPr>
      <w:r>
        <w:rPr>
          <w:rFonts w:ascii="Calibri" w:cs="Calibri" w:eastAsia="Calibri" w:hAnsi="Calibri"/>
          <w:sz w:val="20"/>
          <w:szCs w:val="20"/>
        </w:rPr>
        <w:t xml:space="preserve">TOGETHER-behaviour builds trust but can blur boundaries</w:t>
      </w:r>
    </w:p>
    <w:p>
      <w:pPr>
        <w:pStyle w:val="ListParagraph"/>
        <w:numPr>
          <w:ilvl w:val="0"/>
          <w:numId w:val="2"/>
        </w:numPr>
        <w:spacing w:after="40" w:before="40"/>
      </w:pPr>
      <w:r>
        <w:rPr>
          <w:rFonts w:ascii="Calibri" w:cs="Calibri" w:eastAsia="Calibri" w:hAnsi="Calibri"/>
          <w:sz w:val="20"/>
          <w:szCs w:val="20"/>
        </w:rPr>
        <w:t xml:space="preserve">AGAINST-behaviour is sometimes necessary (setting limits, confronting) but escalates quickly when misused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vAlign w:val="top"/>
          </w:tcPr>
          <w:p>
            <w:pPr>
              <w:spacing w:after="40" w:before="40"/>
            </w:pPr>
            <w:r>
              <w:rPr>
                <w:rFonts w:ascii="Calibri" w:cs="Calibri" w:eastAsia="Calibri" w:hAnsi="Calibri"/>
                <w:b/>
                <w:bCs/>
                <w:color w:val="FFFFFF"/>
                <w:sz w:val="22"/>
                <w:szCs w:val="22"/>
              </w:rPr>
              <w:t xml:space="preserve">2  </w:t>
            </w:r>
          </w:p>
          <w:p>
            <w:pPr>
              <w:spacing w:after="40" w:before="40"/>
            </w:pPr>
            <w:r>
              <w:rPr>
                <w:rFonts w:ascii="Calibri" w:cs="Calibri" w:eastAsia="Calibri" w:hAnsi="Calibri"/>
                <w:b/>
                <w:bCs/>
                <w:color w:val="FFFFFF"/>
                <w:sz w:val="22"/>
                <w:szCs w:val="22"/>
              </w:rPr>
              <w:t xml:space="preserve">Overview — The Eight Positions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200"/>
        <w:gridCol w:w="2360"/>
      </w:tblGrid>
      <w:tr>
        <w:tc>
          <w:tcPr>
            <w:tcW w:type="dxa" w:w="2000"/>
            <w:gridSpan w:val="1"/>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vAlign w:val="top"/>
          </w:tcPr>
          <w:p>
            <w:pPr>
              <w:spacing w:after="40" w:before="40"/>
              <w:jc w:val="left"/>
            </w:pPr>
            <w:r>
              <w:rPr>
                <w:rFonts w:ascii="Calibri" w:cs="Calibri" w:eastAsia="Calibri" w:hAnsi="Calibri"/>
                <w:b/>
                <w:bCs/>
                <w:color w:val="FFFFFF"/>
                <w:sz w:val="20"/>
                <w:szCs w:val="20"/>
              </w:rPr>
              <w:t xml:space="preserve">Position</w:t>
            </w:r>
          </w:p>
        </w:tc>
        <w:tc>
          <w:tcPr>
            <w:tcW w:type="dxa" w:w="1800"/>
            <w:gridSpan w:val="1"/>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vAlign w:val="top"/>
          </w:tcPr>
          <w:p>
            <w:pPr>
              <w:spacing w:after="40" w:before="40"/>
              <w:jc w:val="left"/>
            </w:pPr>
            <w:r>
              <w:rPr>
                <w:rFonts w:ascii="Calibri" w:cs="Calibri" w:eastAsia="Calibri" w:hAnsi="Calibri"/>
                <w:b/>
                <w:bCs/>
                <w:color w:val="FFFFFF"/>
                <w:sz w:val="20"/>
                <w:szCs w:val="20"/>
              </w:rPr>
              <w:t xml:space="preserve">Behavioural Style</w:t>
            </w:r>
          </w:p>
        </w:tc>
        <w:tc>
          <w:tcPr>
            <w:tcW w:type="dxa" w:w="3200"/>
            <w:gridSpan w:val="1"/>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vAlign w:val="top"/>
          </w:tcPr>
          <w:p>
            <w:pPr>
              <w:spacing w:after="40" w:before="40"/>
              <w:jc w:val="left"/>
            </w:pPr>
            <w:r>
              <w:rPr>
                <w:rFonts w:ascii="Calibri" w:cs="Calibri" w:eastAsia="Calibri" w:hAnsi="Calibri"/>
                <w:b/>
                <w:bCs/>
                <w:color w:val="FFFFFF"/>
                <w:sz w:val="20"/>
                <w:szCs w:val="20"/>
              </w:rPr>
              <w:t xml:space="preserve">Characteristics</w:t>
            </w:r>
          </w:p>
        </w:tc>
        <w:tc>
          <w:tcPr>
            <w:tcW w:type="dxa" w:w="2360"/>
            <w:gridSpan w:val="1"/>
            <w:tcBorders>
              <w:top w:val="single" w:color="CCCCCC" w:sz="4"/>
              <w:left w:val="single" w:color="CCCCCC" w:sz="4"/>
              <w:bottom w:val="single" w:color="CCCCCC" w:sz="4"/>
              <w:right w:val="single" w:color="CCCCCC" w:sz="4"/>
            </w:tcBorders>
            <w:shd w:fill="003366" w:val="clear"/>
            <w:tcMar>
              <w:top w:type="dxa" w:w="80"/>
              <w:left w:type="dxa" w:w="120"/>
              <w:bottom w:type="dxa" w:w="80"/>
              <w:right w:type="dxa" w:w="120"/>
            </w:tcMar>
            <w:vAlign w:val="top"/>
          </w:tcPr>
          <w:p>
            <w:pPr>
              <w:spacing w:after="40" w:before="40"/>
              <w:jc w:val="left"/>
            </w:pPr>
            <w:r>
              <w:rPr>
                <w:rFonts w:ascii="Calibri" w:cs="Calibri" w:eastAsia="Calibri" w:hAnsi="Calibri"/>
                <w:b/>
                <w:bCs/>
                <w:color w:val="FFFFFF"/>
                <w:sz w:val="20"/>
                <w:szCs w:val="20"/>
              </w:rPr>
              <w:t xml:space="preserve">Invokes in the other</w:t>
            </w:r>
          </w:p>
        </w:tc>
      </w:tr>
      <w:tr>
        <w:tc>
          <w:tcPr>
            <w:tcW w:type="dxa" w:w="2000"/>
            <w:gridSpan w:val="1"/>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ABOVE</w:t>
            </w:r>
          </w:p>
        </w:tc>
        <w:tc>
          <w:tcPr>
            <w:tcW w:type="dxa" w:w="1800"/>
            <w:gridSpan w:val="1"/>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Leading</w:t>
            </w:r>
          </w:p>
        </w:tc>
        <w:tc>
          <w:tcPr>
            <w:tcW w:type="dxa" w:w="3200"/>
            <w:gridSpan w:val="1"/>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Directing, initiating, taking responsibility</w:t>
            </w:r>
          </w:p>
        </w:tc>
        <w:tc>
          <w:tcPr>
            <w:tcW w:type="dxa" w:w="2360"/>
            <w:gridSpan w:val="1"/>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BELOW — Following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ABOVE-TOGETHER</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Helping</w:t>
            </w:r>
          </w:p>
        </w:tc>
        <w:tc>
          <w:tcPr>
            <w:tcW w:type="dxa" w:w="3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Caring, supportive, cooperative</w:t>
            </w:r>
          </w:p>
        </w:tc>
        <w:tc>
          <w:tcPr>
            <w:tcW w:type="dxa" w:w="2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BELOW-AGAINST — Distrustful</w:t>
            </w:r>
          </w:p>
        </w:tc>
      </w:tr>
      <w:tr>
        <w:tc>
          <w:tcPr>
            <w:tcW w:type="dxa" w:w="2000"/>
            <w:gridSpan w:val="1"/>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TOGETHER</w:t>
            </w:r>
          </w:p>
        </w:tc>
        <w:tc>
          <w:tcPr>
            <w:tcW w:type="dxa" w:w="1800"/>
            <w:gridSpan w:val="1"/>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Collaborating</w:t>
            </w:r>
          </w:p>
        </w:tc>
        <w:tc>
          <w:tcPr>
            <w:tcW w:type="dxa" w:w="3200"/>
            <w:gridSpan w:val="1"/>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Friendly, open, connecting</w:t>
            </w:r>
          </w:p>
        </w:tc>
        <w:tc>
          <w:tcPr>
            <w:tcW w:type="dxa" w:w="2360"/>
            <w:gridSpan w:val="1"/>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AGAINST — Attacking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BELOW-TOGETHER</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Dependent</w:t>
            </w:r>
          </w:p>
        </w:tc>
        <w:tc>
          <w:tcPr>
            <w:tcW w:type="dxa" w:w="3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Asking, seeking agreement, aligning</w:t>
            </w:r>
          </w:p>
        </w:tc>
        <w:tc>
          <w:tcPr>
            <w:tcW w:type="dxa" w:w="2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ABOVE-AGAINST — Dominant</w:t>
            </w:r>
          </w:p>
        </w:tc>
      </w:tr>
      <w:tr>
        <w:tc>
          <w:tcPr>
            <w:tcW w:type="dxa" w:w="2000"/>
            <w:gridSpan w:val="1"/>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BELOW</w:t>
            </w:r>
          </w:p>
        </w:tc>
        <w:tc>
          <w:tcPr>
            <w:tcW w:type="dxa" w:w="1800"/>
            <w:gridSpan w:val="1"/>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Following</w:t>
            </w:r>
          </w:p>
        </w:tc>
        <w:tc>
          <w:tcPr>
            <w:tcW w:type="dxa" w:w="3200"/>
            <w:gridSpan w:val="1"/>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Accepting, withdrawn, executing</w:t>
            </w:r>
          </w:p>
        </w:tc>
        <w:tc>
          <w:tcPr>
            <w:tcW w:type="dxa" w:w="2360"/>
            <w:gridSpan w:val="1"/>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ABOVE — Leading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BELOW-AGAINST</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Distrustful</w:t>
            </w:r>
          </w:p>
        </w:tc>
        <w:tc>
          <w:tcPr>
            <w:tcW w:type="dxa" w:w="3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Defensive, suspicious, critically resistant</w:t>
            </w:r>
          </w:p>
        </w:tc>
        <w:tc>
          <w:tcPr>
            <w:tcW w:type="dxa" w:w="2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ABOVE-TOGETHER — Helping</w:t>
            </w:r>
          </w:p>
        </w:tc>
      </w:tr>
      <w:tr>
        <w:tc>
          <w:tcPr>
            <w:tcW w:type="dxa" w:w="2000"/>
            <w:gridSpan w:val="1"/>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AGAINST</w:t>
            </w:r>
          </w:p>
        </w:tc>
        <w:tc>
          <w:tcPr>
            <w:tcW w:type="dxa" w:w="1800"/>
            <w:gridSpan w:val="1"/>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Attacking</w:t>
            </w:r>
          </w:p>
        </w:tc>
        <w:tc>
          <w:tcPr>
            <w:tcW w:type="dxa" w:w="3200"/>
            <w:gridSpan w:val="1"/>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Confronting, boundary-setting, assertively critical</w:t>
            </w:r>
          </w:p>
        </w:tc>
        <w:tc>
          <w:tcPr>
            <w:tcW w:type="dxa" w:w="2360"/>
            <w:gridSpan w:val="1"/>
            <w:tcBorders>
              <w:top w:val="single" w:color="CCCCCC" w:sz="4"/>
              <w:left w:val="single" w:color="CCCCCC" w:sz="4"/>
              <w:bottom w:val="single" w:color="CCCCCC" w:sz="4"/>
              <w:right w:val="single" w:color="CCCCCC" w:sz="4"/>
            </w:tcBorders>
            <w:shd w:fill="E8F0F8"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TOGETHER — Collaborating</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ABOVE-AGAINST</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Dominant</w:t>
            </w:r>
          </w:p>
        </w:tc>
        <w:tc>
          <w:tcPr>
            <w:tcW w:type="dxa" w:w="3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Controlling, authoritative, demanding</w:t>
            </w:r>
          </w:p>
        </w:tc>
        <w:tc>
          <w:tcPr>
            <w:tcW w:type="dxa" w:w="2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BELOW-TOGETHER — Dependent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vAlign w:val="top"/>
          </w:tcPr>
          <w:p>
            <w:pPr>
              <w:spacing w:after="40" w:before="40"/>
            </w:pPr>
            <w:r>
              <w:rPr>
                <w:rFonts w:ascii="Calibri" w:cs="Calibri" w:eastAsia="Calibri" w:hAnsi="Calibri"/>
                <w:b/>
                <w:bCs/>
                <w:color w:val="FFFFFF"/>
                <w:sz w:val="22"/>
                <w:szCs w:val="22"/>
              </w:rPr>
              <w:t xml:space="preserve">3  </w:t>
            </w:r>
          </w:p>
          <w:p>
            <w:pPr>
              <w:spacing w:after="40" w:before="40"/>
            </w:pPr>
            <w:r>
              <w:rPr>
                <w:rFonts w:ascii="Calibri" w:cs="Calibri" w:eastAsia="Calibri" w:hAnsi="Calibri"/>
                <w:b/>
                <w:bCs/>
                <w:color w:val="FFFFFF"/>
                <w:sz w:val="22"/>
                <w:szCs w:val="22"/>
              </w:rPr>
              <w:t xml:space="preserve">Fill-in Exercise — Your Natural Style</w:t>
            </w:r>
          </w:p>
        </w:tc>
      </w:tr>
    </w:tbl>
    <w:p>
      <w:pPr>
        <w:spacing w:after="80" w:before="80"/>
      </w:pPr>
      <w:r>
        <w:t xml:space="preserve"/>
      </w:r>
    </w:p>
    <w:p>
      <w:pPr>
        <w:spacing w:after="60" w:before="60"/>
      </w:pPr>
      <w:r>
        <w:rPr>
          <w:rFonts w:ascii="Calibri" w:cs="Calibri" w:eastAsia="Calibri" w:hAnsi="Calibri"/>
          <w:b w:val="false"/>
          <w:bCs w:val="false"/>
          <w:color w:val="000000"/>
          <w:sz w:val="20"/>
          <w:szCs w:val="20"/>
        </w:rPr>
        <w:t xml:space="preserve">Look honestly at your own behaviour. There is no right or wrong position — the goal is awareness and flexibility.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My most frequent position in collaboration is:  _________________________</w:t>
            </w:r>
          </w:p>
        </w:tc>
      </w:tr>
      <w:tr>
        <w:tc>
          <w:tcPr>
            <w:tcW w:type="dxa" w:w="936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My most frequent position under pressure or in conflict is:  _________________________</w:t>
            </w:r>
          </w:p>
        </w:tc>
      </w:tr>
      <w:tr>
        <w:tc>
          <w:tcPr>
            <w:tcW w:type="dxa" w:w="9360"/>
            <w:gridSpan w:val="1"/>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The position I use least but sometimes need:  _________________________</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vAlign w:val="top"/>
          </w:tcPr>
          <w:p>
            <w:pPr>
              <w:spacing w:after="40" w:before="40"/>
            </w:pPr>
            <w:r>
              <w:rPr>
                <w:rFonts w:ascii="Calibri" w:cs="Calibri" w:eastAsia="Calibri" w:hAnsi="Calibri"/>
                <w:b/>
                <w:bCs/>
                <w:color w:val="FFFFFF"/>
                <w:sz w:val="22"/>
                <w:szCs w:val="22"/>
              </w:rPr>
              <w:t xml:space="preserve">4  </w:t>
            </w:r>
          </w:p>
          <w:p>
            <w:pPr>
              <w:spacing w:after="40" w:before="40"/>
            </w:pPr>
            <w:r>
              <w:rPr>
                <w:rFonts w:ascii="Calibri" w:cs="Calibri" w:eastAsia="Calibri" w:hAnsi="Calibri"/>
                <w:b/>
                <w:bCs/>
                <w:color w:val="FFFFFF"/>
                <w:sz w:val="22"/>
                <w:szCs w:val="22"/>
              </w:rPr>
              <w:t xml:space="preserve">Reflection Questions</w:t>
            </w:r>
          </w:p>
        </w:tc>
      </w:tr>
    </w:tbl>
    <w:p>
      <w:pPr>
        <w:spacing w:after="80" w:before="80"/>
      </w:pPr>
      <w:r>
        <w:t xml:space="preserve"/>
      </w:r>
    </w:p>
    <w:p>
      <w:pPr>
        <w:spacing w:after="60" w:before="60"/>
      </w:pPr>
      <w:r>
        <w:rPr>
          <w:rFonts w:ascii="Calibri" w:cs="Calibri" w:eastAsia="Calibri" w:hAnsi="Calibri"/>
          <w:b w:val="false"/>
          <w:bCs w:val="false"/>
          <w:color w:val="000000"/>
          <w:sz w:val="20"/>
          <w:szCs w:val="20"/>
        </w:rPr>
        <w:t xml:space="preserve">Use a situation from your placement or work as a hook for each question.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Q1</w:t>
            </w:r>
          </w:p>
        </w:tc>
        <w:tc>
          <w:tcPr>
            <w:tcW w:type="dxa" w:w="846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Your dominant style
Which position(s) in the Rose do you recognise as your "home position"? In which situations does that style take over? What is the effect on your conversation partner?</w:t>
            </w:r>
          </w:p>
        </w:tc>
      </w:tr>
      <w:tr>
        <w:tc>
          <w:tcPr>
            <w:tcW w:type="dxa" w:w="9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c>
          <w:tcPr>
            <w:tcW w:type="dxa" w:w="84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Q2</w:t>
            </w:r>
          </w:p>
        </w:tc>
        <w:tc>
          <w:tcPr>
            <w:tcW w:type="dxa" w:w="846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Behaviour calls forth behaviour
Describe a situation in which your behaviour unintentionally provoked a reaction in the other that you did not want. Which position were you in? Which position did the other take? Could you have steered this differently?</w:t>
            </w:r>
          </w:p>
        </w:tc>
      </w:tr>
      <w:tr>
        <w:tc>
          <w:tcPr>
            <w:tcW w:type="dxa" w:w="9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c>
          <w:tcPr>
            <w:tcW w:type="dxa" w:w="84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Q3</w:t>
            </w:r>
          </w:p>
        </w:tc>
        <w:tc>
          <w:tcPr>
            <w:tcW w:type="dxa" w:w="846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Flexibility — switching style
In which situation did you consciously switch behavioural position? What made you make that choice? What was the effect?</w:t>
            </w:r>
          </w:p>
        </w:tc>
      </w:tr>
      <w:tr>
        <w:tc>
          <w:tcPr>
            <w:tcW w:type="dxa" w:w="9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c>
          <w:tcPr>
            <w:tcW w:type="dxa" w:w="84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Q4</w:t>
            </w:r>
          </w:p>
        </w:tc>
        <w:tc>
          <w:tcPr>
            <w:tcW w:type="dxa" w:w="846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Ethical dilemma — Power and care
A client wants you to make decisions for them (ABOVE-position). You believe in self-determination. But they are explicitly asking for it. What do you do? From which position in the Rose do you act, and why?</w:t>
            </w:r>
          </w:p>
        </w:tc>
      </w:tr>
      <w:tr>
        <w:tc>
          <w:tcPr>
            <w:tcW w:type="dxa" w:w="9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c>
          <w:tcPr>
            <w:tcW w:type="dxa" w:w="84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bCs/>
                <w:color w:val="000000"/>
                <w:sz w:val="20"/>
                <w:szCs w:val="20"/>
              </w:rPr>
              <w:t xml:space="preserve">Q5</w:t>
            </w:r>
          </w:p>
        </w:tc>
        <w:tc>
          <w:tcPr>
            <w:tcW w:type="dxa" w:w="8460"/>
            <w:gridSpan w:val="1"/>
            <w:tcBorders>
              <w:top w:val="single" w:color="CCCCCC" w:sz="4"/>
              <w:left w:val="single" w:color="CCCCCC" w:sz="4"/>
              <w:bottom w:val="single" w:color="CCCCCC" w:sz="4"/>
              <w:right w:val="single" w:color="CCCCCC" w:sz="4"/>
            </w:tcBorders>
            <w:shd w:fill="D0DEF0"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18"/>
                <w:szCs w:val="18"/>
              </w:rPr>
              <w:t xml:space="preserve">Growth step
Which position in the Rose do you want to use more consciously in your professional practice? How will you practise that concretely?</w:t>
            </w:r>
          </w:p>
        </w:tc>
      </w:tr>
      <w:tr>
        <w:tc>
          <w:tcPr>
            <w:tcW w:type="dxa" w:w="90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000000"/>
                <w:sz w:val="20"/>
                <w:szCs w:val="20"/>
              </w:rPr>
              <w:t xml:space="preserve"/>
            </w:r>
          </w:p>
        </w:tc>
        <w:tc>
          <w:tcPr>
            <w:tcW w:type="dxa" w:w="8460"/>
            <w:gridSpan w:val="1"/>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vAlign w:val="top"/>
          </w:tcPr>
          <w:p>
            <w:pPr>
              <w:spacing w:after="40" w:before="40"/>
            </w:pPr>
            <w:r>
              <w:rPr>
                <w:rFonts w:ascii="Calibri" w:cs="Calibri" w:eastAsia="Calibri" w:hAnsi="Calibri"/>
                <w:b/>
                <w:bCs/>
                <w:color w:val="FFFFFF"/>
                <w:sz w:val="22"/>
                <w:szCs w:val="22"/>
              </w:rPr>
              <w:t xml:space="preserve">5  </w:t>
            </w:r>
          </w:p>
          <w:p>
            <w:pPr>
              <w:spacing w:after="40" w:before="40"/>
            </w:pPr>
            <w:r>
              <w:rPr>
                <w:rFonts w:ascii="Calibri" w:cs="Calibri" w:eastAsia="Calibri" w:hAnsi="Calibri"/>
                <w:b/>
                <w:bCs/>
                <w:color w:val="FFFFFF"/>
                <w:sz w:val="22"/>
                <w:szCs w:val="22"/>
              </w:rPr>
              <w:t xml:space="preserve">Role Play — In pairs or triads (20 minutes)</w:t>
            </w:r>
          </w:p>
        </w:tc>
      </w:tr>
    </w:tbl>
    <w:p>
      <w:pPr>
        <w:spacing w:after="80" w:before="80"/>
      </w:pPr>
      <w:r>
        <w:t xml:space="preserve"/>
      </w:r>
    </w:p>
    <w:p>
      <w:pPr>
        <w:spacing w:after="60" w:before="60"/>
      </w:pPr>
      <w:r>
        <w:rPr>
          <w:rFonts w:ascii="Calibri" w:cs="Calibri" w:eastAsia="Calibri" w:hAnsi="Calibri"/>
          <w:b/>
          <w:bCs/>
          <w:color w:val="000000"/>
          <w:sz w:val="20"/>
          <w:szCs w:val="20"/>
        </w:rPr>
        <w:t xml:space="preserve">Setup</w:t>
      </w:r>
    </w:p>
    <w:p>
      <w:pPr>
        <w:spacing w:after="60" w:before="60"/>
      </w:pPr>
      <w:r>
        <w:rPr>
          <w:rFonts w:ascii="Calibri" w:cs="Calibri" w:eastAsia="Calibri" w:hAnsi="Calibri"/>
          <w:b w:val="false"/>
          <w:bCs w:val="false"/>
          <w:color w:val="000000"/>
          <w:sz w:val="20"/>
          <w:szCs w:val="20"/>
        </w:rPr>
        <w:t xml:space="preserve">Choose a professional situation (intake interview, team meeting, feedback moment, boundary-setting conversation).</w:t>
      </w:r>
    </w:p>
    <w:p>
      <w:pPr>
        <w:pStyle w:val="ListParagraph"/>
        <w:numPr>
          <w:ilvl w:val="0"/>
          <w:numId w:val="2"/>
        </w:numPr>
        <w:spacing w:after="40" w:before="40"/>
      </w:pPr>
      <w:r>
        <w:rPr>
          <w:rFonts w:ascii="Calibri" w:cs="Calibri" w:eastAsia="Calibri" w:hAnsi="Calibri"/>
          <w:sz w:val="20"/>
          <w:szCs w:val="20"/>
        </w:rPr>
        <w:t xml:space="preserve">Play the situation in a prescribed position (e.g. one person plays ABOVE-TOGETHER, the other BELOW-TOGETHER)</w:t>
      </w:r>
    </w:p>
    <w:p>
      <w:pPr>
        <w:pStyle w:val="ListParagraph"/>
        <w:numPr>
          <w:ilvl w:val="0"/>
          <w:numId w:val="2"/>
        </w:numPr>
        <w:spacing w:after="40" w:before="40"/>
      </w:pPr>
      <w:r>
        <w:rPr>
          <w:rFonts w:ascii="Calibri" w:cs="Calibri" w:eastAsia="Calibri" w:hAnsi="Calibri"/>
          <w:sz w:val="20"/>
          <w:szCs w:val="20"/>
        </w:rPr>
        <w:t xml:space="preserve">Then swap positions and play again</w:t>
      </w:r>
    </w:p>
    <w:p>
      <w:pPr>
        <w:pStyle w:val="ListParagraph"/>
        <w:numPr>
          <w:ilvl w:val="0"/>
          <w:numId w:val="2"/>
        </w:numPr>
        <w:spacing w:after="40" w:before="40"/>
      </w:pPr>
      <w:r>
        <w:rPr>
          <w:rFonts w:ascii="Calibri" w:cs="Calibri" w:eastAsia="Calibri" w:hAnsi="Calibri"/>
          <w:sz w:val="20"/>
          <w:szCs w:val="20"/>
        </w:rPr>
        <w:t xml:space="preserve">Discuss: what changed in the atmosphere, the effect and the feeling of the other?</w:t>
      </w:r>
    </w:p>
    <w:p>
      <w:pPr>
        <w:spacing w:after="80" w:before="80"/>
      </w:pPr>
      <w:r>
        <w:t xml:space="preserve"/>
      </w:r>
    </w:p>
    <w:p>
      <w:pPr>
        <w:spacing w:after="60" w:before="60"/>
      </w:pPr>
      <w:r>
        <w:rPr>
          <w:rFonts w:ascii="Calibri" w:cs="Calibri" w:eastAsia="Calibri" w:hAnsi="Calibri"/>
          <w:b w:val="false"/>
          <w:bCs w:val="false"/>
          <w:color w:val="000000"/>
          <w:sz w:val="20"/>
          <w:szCs w:val="20"/>
        </w:rPr>
        <w:t xml:space="preserve">Plenary reflection question:</w:t>
      </w:r>
    </w:p>
    <w:p>
      <w:pPr>
        <w:spacing w:after="60" w:before="60"/>
      </w:pPr>
      <w:r>
        <w:rPr>
          <w:rFonts w:ascii="Calibri" w:cs="Calibri" w:eastAsia="Calibri" w:hAnsi="Calibri"/>
          <w:b w:val="false"/>
          <w:bCs w:val="false"/>
          <w:color w:val="000000"/>
          <w:sz w:val="20"/>
          <w:szCs w:val="20"/>
        </w:rPr>
        <w:t xml:space="preserve">Which behavioural position is dominant in the organisational culture of your placement? And what does that provoke in clients and employees?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4"/>
              <w:left w:val="single" w:color="CCCCCC" w:sz="4"/>
              <w:bottom w:val="single" w:color="CCCCCC" w:sz="4"/>
              <w:right w:val="single" w:color="CCCCCC" w:sz="4"/>
            </w:tcBorders>
            <w:shd w:fill="185fa5" w:val="clear"/>
            <w:tcMar>
              <w:top w:type="dxa" w:w="80"/>
              <w:left w:type="dxa" w:w="120"/>
              <w:bottom w:type="dxa" w:w="80"/>
              <w:right w:type="dxa" w:w="120"/>
            </w:tcMar>
            <w:vAlign w:val="top"/>
          </w:tcPr>
          <w:p>
            <w:pPr>
              <w:spacing w:after="40" w:before="40"/>
            </w:pPr>
            <w:r>
              <w:rPr>
                <w:rFonts w:ascii="Calibri" w:cs="Calibri" w:eastAsia="Calibri" w:hAnsi="Calibri"/>
                <w:b/>
                <w:bCs/>
                <w:color w:val="FFFFFF"/>
                <w:sz w:val="22"/>
                <w:szCs w:val="22"/>
              </w:rPr>
              <w:t xml:space="preserve">Literature &amp; Sources  </w:t>
            </w:r>
          </w:p>
          <w:p>
            <w:pPr>
              <w:spacing w:after="40" w:before="40"/>
            </w:pPr>
            <w:r>
              <w:rPr>
                <w:rFonts w:ascii="Calibri" w:cs="Calibri" w:eastAsia="Calibri" w:hAnsi="Calibri"/>
                <w:b/>
                <w:bCs/>
                <w:color w:val="FFFFFF"/>
                <w:sz w:val="22"/>
                <w:szCs w:val="22"/>
              </w:rPr>
              <w:t xml:space="preserve"/>
            </w:r>
          </w:p>
        </w:tc>
      </w:tr>
    </w:tbl>
    <w:p>
      <w:pPr>
        <w:spacing w:after="80" w:before="80"/>
      </w:pPr>
      <w:r>
        <w:t xml:space="preserve"/>
      </w:r>
    </w:p>
    <w:p>
      <w:pPr>
        <w:spacing w:after="60" w:before="60"/>
      </w:pPr>
      <w:r>
        <w:rPr>
          <w:rFonts w:ascii="Calibri" w:cs="Calibri" w:eastAsia="Calibri" w:hAnsi="Calibri"/>
          <w:b w:val="false"/>
          <w:bCs w:val="false"/>
          <w:color w:val="000000"/>
          <w:sz w:val="20"/>
          <w:szCs w:val="20"/>
        </w:rPr>
        <w:t xml:space="preserve">Leary, T. (1957). Interpersonal Diagnosis of Personality. Ronald Press.</w:t>
      </w:r>
    </w:p>
    <w:p>
      <w:pPr>
        <w:spacing w:after="60" w:before="60"/>
      </w:pPr>
      <w:r>
        <w:rPr>
          <w:rFonts w:ascii="Calibri" w:cs="Calibri" w:eastAsia="Calibri" w:hAnsi="Calibri"/>
          <w:b w:val="false"/>
          <w:bCs w:val="false"/>
          <w:color w:val="000000"/>
          <w:sz w:val="20"/>
          <w:szCs w:val="20"/>
        </w:rPr>
        <w:t xml:space="preserve">Schulz von Thun, F. (1982). Miteinander Reden: Störungen und Klärungen. Rowohlt.</w:t>
      </w:r>
    </w:p>
    <w:p>
      <w:pPr>
        <w:spacing w:after="60" w:before="60"/>
      </w:pPr>
      <w:r>
        <w:rPr>
          <w:rFonts w:ascii="Calibri" w:cs="Calibri" w:eastAsia="Calibri" w:hAnsi="Calibri"/>
          <w:b w:val="false"/>
          <w:bCs w:val="false"/>
          <w:color w:val="000000"/>
          <w:sz w:val="20"/>
          <w:szCs w:val="20"/>
        </w:rPr>
        <w:t xml:space="preserve">Remmerswaal, J. (2013). Handboek Groepsdynamica. Nelissen.</w:t>
      </w:r>
    </w:p>
    <w:p>
      <w:pPr>
        <w:spacing w:after="60" w:before="60"/>
      </w:pPr>
      <w:r>
        <w:rPr>
          <w:rFonts w:ascii="Calibri" w:cs="Calibri" w:eastAsia="Calibri" w:hAnsi="Calibri"/>
          <w:b w:val="false"/>
          <w:bCs w:val="false"/>
          <w:color w:val="000000"/>
          <w:sz w:val="20"/>
          <w:szCs w:val="20"/>
        </w:rPr>
        <w:t xml:space="preserve">Tjin A Djie, K. &amp; Zwaan, M. (2010). Managen van diversiteit op de werkvloer. Bohn Stafleu van Loghum.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pPr>
            <w:r>
              <w:rPr>
                <w:rFonts w:ascii="Calibri" w:cs="Calibri" w:eastAsia="Calibri" w:hAnsi="Calibri"/>
                <w:b/>
                <w:bCs/>
                <w:color w:val="003366"/>
                <w:sz w:val="18"/>
                <w:szCs w:val="18"/>
              </w:rPr>
              <w:t xml:space="preserve">Note for the teacher  </w:t>
            </w:r>
          </w:p>
          <w:p>
            <w:pPr>
              <w:spacing w:after="40" w:before="40"/>
            </w:pPr>
            <w:r>
              <w:rPr>
                <w:rFonts w:ascii="Calibri" w:cs="Calibri" w:eastAsia="Calibri" w:hAnsi="Calibri"/>
                <w:color w:val="5f5e5a"/>
                <w:sz w:val="18"/>
                <w:szCs w:val="18"/>
              </w:rPr>
              <w:t xml:space="preserve">Leary's Rose is a powerful but sensitive instrument — students can feel addressed about behaviour they do not recognise or label as negative. Emphasise that all positions can be functional. It is about awareness and choice, not eliminating certain behaviour. The role-play variant yields the most learning when there is sufficient psychological safety in the group.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top"/>
          </w:tcPr>
          <w:p>
            <w:pPr>
              <w:spacing w:after="40" w:before="40"/>
              <w:jc w:val="left"/>
            </w:pPr>
            <w:r>
              <w:rPr>
                <w:rFonts w:ascii="Calibri" w:cs="Calibri" w:eastAsia="Calibri" w:hAnsi="Calibri"/>
                <w:b w:val="false"/>
                <w:bCs w:val="false"/>
                <w:color w:val="5f5e5a"/>
                <w:sz w:val="16"/>
                <w:szCs w:val="16"/>
              </w:rPr>
              <w:t xml:space="preserve">© Fontys University of Applied Sciences — Research Group on Ethical Practice — Moral Craftsmanship Series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2026-06-10T07:57:40.961Z</dcterms:created>
  <dcterms:modified xsi:type="dcterms:W3CDTF">2026-06-10T07:57:40.961Z</dcterms:modified>
</cp:coreProperties>
</file>

<file path=docProps/custom.xml><?xml version="1.0" encoding="utf-8"?>
<Properties xmlns="http://schemas.openxmlformats.org/officeDocument/2006/custom-properties" xmlns:vt="http://schemas.openxmlformats.org/officeDocument/2006/docPropsVTypes"/>
</file>