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SOCIAL MEDIA</w:t>
      </w:r>
    </w:p>
    <w:p>
      <w:r>
        <w:rPr>
          <w:b/>
          <w:color w:val="993556"/>
        </w:rPr>
        <w:t>★☆☆ Micro — direct, personal choice</w:t>
      </w:r>
    </w:p>
    <w:p>
      <w:r>
        <w:rPr>
          <w:b/>
          <w:sz w:val="32"/>
        </w:rPr>
        <w:t>The group chat</w:t>
      </w:r>
    </w:p>
    <w:p>
      <w:pPr>
        <w:spacing w:after="240"/>
      </w:pPr>
      <w:r>
        <w:t>At 11:40 p.m. Femke's phone lights up. More and more messages appear in the class group chat about Julian — screenshots of his poor test score, an edited photo with a ridiculous caption, dozens of laughing emojis. Femke reads along but says nothing. She barely knows Julian, but sees how three classmates, including her best friend, are actively joining in. If she speaks up, the attention may turn on her. If she stays silent, the message stays up until tomorrow morning, when the whole class will have seen it. She scrolls back to the first message and sees that nobody — no teacher, no parent — can see this conversation. Does Femke intervene, even if she becomes a target herself, or put her phone away?</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