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SUSTAINABILITY</w:t>
      </w:r>
    </w:p>
    <w:p>
      <w:r>
        <w:rPr>
          <w:b/>
          <w:color w:val="993556"/>
        </w:rPr>
        <w:t>★★★ Macro — systemic dilemma</w:t>
      </w:r>
    </w:p>
    <w:p>
      <w:r>
        <w:rPr>
          <w:b/>
          <w:sz w:val="32"/>
        </w:rPr>
        <w:t>The cheap jumper</w:t>
      </w:r>
    </w:p>
    <w:p>
      <w:pPr>
        <w:spacing w:after="240"/>
      </w:pPr>
      <w:r>
        <w:t>In the shop a jumper hangs for six euros, even cheaper in the sale. Emma knows, from a school project on the clothing industry, that clothes in this price range are often made in factories where children work too — she looked up the figures herself for her assignment. Her own budget is tight; she is saving for a school trip and every euro counts. The jumper in her hands is exactly what she wanted, the right size and colour, nowhere else at this price. The cashier waits; the queue behind her grows longer. She thinks of the project she wrote herself and of the school trip she is saving for. Does Emma put the jumper back, or pay for it anyway?</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