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Micro — persoonlijke keuze</w:t>
      </w:r>
    </w:p>
    <w:p>
      <w:r>
        <w:rPr>
          <w:b/>
          <w:color w:val="1A2744"/>
          <w:sz w:val="32"/>
        </w:rPr>
        <w:t>De afwezige stoel</w:t>
      </w:r>
    </w:p>
    <w:p>
      <w:pPr>
        <w:spacing w:after="240"/>
      </w:pPr>
      <w:r>
        <w:rPr>
          <w:color w:val="4A5568"/>
          <w:sz w:val="22"/>
        </w:rPr>
        <w:t>Mevrouw Visser noteert donderdagochtend de vierde afwezigheid van Kimberly deze maand in het absentiesysteem. Ze belt naar huis; niemand neemt op. Wanneer Kimberly de volgende dag wel verschijnt, met een vale huid en gebroken blik, vraagt Visser voorzichtig hoe het gaat. "Gewoon moe," zegt Kimberly, en ze kijkt naar de grond. Visser ziet steeds meer signalen — een verwaarloosde rugtas, telefoonberichten die ze snel wegdrukt — die wijzen op iets thuis dat niet klopt. Kimberly heeft haar duidelijk gevraagd om het "gewoon te laten". Meldt Visser haar vermoeden bij de zorgcoördinator, met het risico dat Kimberly's vertrouwen in haar breekt? Of wacht ze af, in de hoop dat Kimberly ooit uit zichzelf praat, terwijl de signalen intussen verergeren? Visser legt de telefoon terug op het bureau. Belt ze?</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