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Buiten de kalibratie</w:t>
      </w:r>
    </w:p>
    <w:p>
      <w:pPr>
        <w:spacing w:after="240"/>
      </w:pPr>
      <w:r>
        <w:rPr>
          <w:color w:val="4A5568"/>
          <w:sz w:val="22"/>
        </w:rPr>
        <w:t>In de docentenkamer, vrijdag na schooltijd, ziet Marieke hoe collega Ruud voor de zoveelste keer een stapel werkstukken beoordeelt zonder de rubric erbij te pakken. "Ik voel gewoon aan wat een goed werkstuk is," zegt hij, als ze ernaar vraagt. Ze weet dat er kalibratiesessies zijn geweest, protocollen zijn afgesproken, juist om willekeur tussen docenten te voorkomen — en dat leerlingen bij Ruud structureel andere cijfers krijgen dan bij collega's voor vergelijkbaar werk. Een student had er laatst over geklaagd bij de curriculumcommissie, zonder namen te noemen. Spreekt Marieke Ruud er rechtstreeks op aan, met het risico op een ongemakkelijke sfeer in een klein team? Of meldt ze het bij de curriculumcommissie, wetend dat dit voor Ruud verstrekkende gevolgen kan hebben? Ze pakt haar jas van de kapstok. Wacht ze tot maandag, of spreekt ze hem nu aan?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