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Two essays side by side</w:t>
      </w:r>
    </w:p>
    <w:p>
      <w:pPr>
        <w:spacing w:after="240"/>
      </w:pPr>
      <w:r>
        <w:rPr>
          <w:color w:val="4A5568"/>
          <w:sz w:val="22"/>
        </w:rPr>
        <w:t>Mr Bakker sits after school on Thursday with two essays side by side: Lisa's and her classmate Fenna's. In the third paragraph the exact same sentence appears, typo included. He knows that copying according to the exam regulations means a fail and a note in the file. But he also knows Lisa's situation: last week she told him, in tears, that her parents "simply won't accept" a fail and that there has been conflict at home for months over her grades. If he follows protocol, he risks the pressure at home escalating further. If he lets it go, he undermines the rule meant to prevent unfairness — and what does he say to Fenna, who did her own work? Bakker lays the two essays side by side on his desk. Does he call the parents, or Lisa first?</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