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F5E5A"/>
          <w:sz w:val="20"/>
        </w:rPr>
        <w:t>RESEARCH INTEGRITY</w:t>
      </w:r>
    </w:p>
    <w:p>
      <w:r>
        <w:rPr>
          <w:b/>
          <w:color w:val="993556"/>
        </w:rPr>
        <w:t>★★★ Macro — systemic dilemma</w:t>
      </w:r>
    </w:p>
    <w:p>
      <w:r>
        <w:rPr>
          <w:b/>
          <w:sz w:val="32"/>
        </w:rPr>
        <w:t>The Extra Name on the List</w:t>
      </w:r>
    </w:p>
    <w:p>
      <w:pPr>
        <w:spacing w:after="240"/>
      </w:pPr>
      <w:r>
        <w:t>The manuscript is ready, reviewed, accepted — until an email arrives from the publisher. A senior editor at a partner institution would like to be added to the editorial board for this special issue. He hasn't reviewed a single submission, hasn't attended a meeting, hasn't read the papers. But his university covers the open-access fees for the entire issue, and the contract renewal is due next month. "It's just a name on a page," the managing editor says, not quite meeting anyone's eyes. The actual editors, who spent months reading manuscripts and chasing reviewers, say nothing at first. Refusing might mean losing the funding that keeps the journal free to authors. Agreeing means quietly rewriting who did the work. The deadline for the final editor list is tomorrow at noon. Someone has to reply to the email.</w:t>
      </w:r>
    </w:p>
    <w:p>
      <w:r>
        <w:rPr>
          <w:b/>
        </w:rPr>
        <w:t>What would you do, and why?</w:t>
      </w:r>
    </w:p>
    <w:p>
      <w:r>
        <w:rPr>
          <w:b/>
        </w:rPr>
        <w:t>Which values are at play?</w:t>
      </w:r>
    </w:p>
    <w:p>
      <w:r>
        <w:rPr>
          <w:i/>
          <w:color w:val="5F5E5A"/>
          <w:sz w:val="16"/>
        </w:rPr>
        <w:t>Micro/meso/macro distinction: working definition Lectoraat Ethisch Werken, inspired by Meijer (2023).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