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ONDERZOEKSINTEGRITEIT</w:t>
      </w:r>
    </w:p>
    <w:p>
      <w:r>
        <w:rPr>
          <w:b/>
          <w:color w:val="993556"/>
        </w:rPr>
        <w:t>★★☆ Meso — organisatorisch dilemma</w:t>
      </w:r>
    </w:p>
    <w:p>
      <w:r>
        <w:rPr>
          <w:b/>
          <w:sz w:val="32"/>
        </w:rPr>
        <w:t>Hetzelfde resultaat, twee keer</w:t>
      </w:r>
    </w:p>
    <w:p>
      <w:pPr>
        <w:spacing w:after="240"/>
      </w:pPr>
      <w:r>
        <w:t>Dr. Willemsens dataset van drie jaar geleden is solide — peer-reviewed, gepubliceerd, af. Maar de financieringscyclus sluit nooit echt. Ze past een variabele aan, herformuleert de onderzoeksvraag een beetje, dient het in als een nieuw voorstel. De commissie, die niet weet dat het bijna volledig overlapt met haar vorige gefinancierde project, keurt het goed. Ze presenteert de "nieuwe" bevindingen op een conferentie in Lissabon, en daarna, anders geformuleerd, in Porto. Niemand die haar aanvraag beoordeelt, ziet de eerdere versie; niemand die aan het podium applaudisseert, weet het ook. Elke subsidie financiert echt werk — reizen, een onderzoeksassistent, een paar maanden ademruimte. Niets aan de cijfers is verzonnen. Alleen het kader blijft verschuiven, net genoeg om nieuw te lijken. Ze is al bezig met de volgende herindiening wanneer de nieuwsbrief van het financieringsorgaan meldt dat dubbele indieningen strakker worden gecontroleerd. Wat gebeurt er als iemand de versies eindelijk naast elkaar legt?</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