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FCB77" w:sz="24"/>
              <w:right w:val="none" w:color="FFFFFF" w:sz="0"/>
            </w:tcBorders>
            <w:shd w:fill="227C9D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MW03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 vertrouwelijke melding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FCB77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moreel probleem in de HR-praktijk helder formuleren.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feiten scheiden van aannames.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waarden van betrokkenen benoemen en een besluit onderbouwen.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de wens van de melder af tegen de meldprocedure en de cultuur van het bedrijf, met meerdere betrokkenen.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meldprocedure en de cultuur in het bedrijf.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manager, team, HR en organisatieregels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wetgeving over ongewenst gedrag speelt op de achtergrond, maar de kern is de omgang binnen de organisatie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Groepen van 4–10. Neem 60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let op de scheiding tussen feiten en aannames in blok B. De methode komt uit de zorg; help studenten de vertaalslag naar HRM te maken.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de vier blokken zijn in eigen woorden vertaald naar HRM (Steinkamp &amp; Gordijn, 2003). De originele vragenlijst is niet letterlijk overgenomen.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slaan blok B over en gaan direct naar waarden.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Waarden blijven algemeen (“respect”). Vraag naar wat dat hier concreet betekent.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Het besluit gaat alleen over de manager. Vraag ook naar wat de melder nodig heeft.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HANDVATTEN PER BLOK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27C9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Blok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27C9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Vraag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27C9D"/>
                <w:sz w:val="17"/>
                <w:szCs w:val="17"/>
              </w:rPr>
              <w:t xml:space="preserve">A. Probleem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is het dilemma en wie moet erover beslissen?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27C9D"/>
                <w:sz w:val="17"/>
                <w:szCs w:val="17"/>
              </w:rPr>
              <w:t xml:space="preserve">B. Feiten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is er gemeld? Wat weten we van de regels? Wat missen we?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27C9D"/>
                <w:sz w:val="17"/>
                <w:szCs w:val="17"/>
              </w:rPr>
              <w:t xml:space="preserve">C. Waarden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Welke waarden staan tegenover elkaar? Wie draagt de gevolgen?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27C9D"/>
                <w:sz w:val="17"/>
                <w:szCs w:val="17"/>
              </w:rPr>
              <w:t xml:space="preserve">D. Besluit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Welke optie is verdedigbaar? Wat regelen we voor de melder?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(40 min): </w:t>
      </w:r>
      <w:r>
        <w:rPr>
          <w:rFonts w:ascii="Arial" w:cs="Arial" w:eastAsia="Arial" w:hAnsi="Arial"/>
          <w:sz w:val="19"/>
          <w:szCs w:val="19"/>
        </w:rPr>
        <w:t xml:space="preserve">sla blok B over of werk met twee betrokkenen.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document met de vier blokken.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groepen één blok uitwerken en presenteer samen.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/>
      <w:r/>
      <w:r>
        <w:rPr>
          <w:i/>
        </w:rPr>
        <w:t>Meijer, K. (2023). Impossible and inevitable: Reconstructing the critique of business ethics [Proefschrift, Tilburg University]. Ridderprint BV.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Steinkamp, N., &amp; Gordijn, B. (2003). Ethical case deliberation on the ward: A comparison of four methods. Medicine, Health Care and Philosophy, 6(3), 235–246. https://doi.org/10.1023/A:1025928617468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Kim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moreel beraad in vier blokken (Steinkamp &amp; Gordijn, 2003; in eigen woorden vertaald naar HRM).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MW03 Docentenversie – De vertrouwelijke melding</dc:title>
  <dc:creator>Moreel Vakmanschap</dc:creator>
  <cp:lastModifiedBy>Un-named</cp:lastModifiedBy>
  <cp:revision>1</cp:revision>
  <dcterms:created xsi:type="dcterms:W3CDTF">2026-09-30T10:35:03.788Z</dcterms:created>
  <dcterms:modified xsi:type="dcterms:W3CDTF">2026-09-30T10:35:03.788Z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