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56B6F" w:sz="24"/>
              <w:right w:val="none" w:color="FFFFFF" w:sz="0"/>
            </w:tcBorders>
            <w:shd w:fill="355070"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MW20</w:t>
            </w:r>
          </w:p>
          <w:p>
            <w:pPr>
              <w:spacing w:after="40" w:line="250"/>
            </w:pPr>
            <w:r>
              <w:rPr>
                <w:rFonts w:ascii="Arial" w:cs="Arial" w:eastAsia="Arial" w:hAnsi="Arial"/>
                <w:b/>
                <w:bCs/>
                <w:color w:val="FFFFFF"/>
                <w:sz w:val="34"/>
                <w:szCs w:val="34"/>
              </w:rPr>
              <w:t xml:space="preserve">Available within 24 hours</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E56B6F"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substantiate a position on an HR policy question with reasons and principles. (Weighing)</w:t>
      </w:r>
    </w:p>
    <w:p>
      <w:pPr>
        <w:pStyle w:val="ListParagraph"/>
        <w:numPr>
          <w:ilvl w:val="0"/>
          <w:numId w:val="2"/>
        </w:numPr>
        <w:spacing w:after="40" w:line="260"/>
      </w:pPr>
      <w:r>
        <w:rPr>
          <w:rFonts w:ascii="Arial" w:cs="Arial" w:eastAsia="Arial" w:hAnsi="Arial"/>
          <w:sz w:val="19"/>
          <w:szCs w:val="19"/>
        </w:rPr>
        <w:t xml:space="preserve">The student can, as a critical friend, name strengths and ask targeted questions. (Weighing)</w:t>
      </w:r>
    </w:p>
    <w:p>
      <w:pPr>
        <w:pStyle w:val="ListParagraph"/>
        <w:numPr>
          <w:ilvl w:val="0"/>
          <w:numId w:val="2"/>
        </w:numPr>
        <w:spacing w:after="40" w:line="260"/>
      </w:pPr>
      <w:r>
        <w:rPr>
          <w:rFonts w:ascii="Arial" w:cs="Arial" w:eastAsia="Arial" w:hAnsi="Arial"/>
          <w:sz w:val="19"/>
          <w:szCs w:val="19"/>
        </w:rPr>
        <w:t xml:space="preserve">The student can process objections without defending what is untenable. (Weighing)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HR adviser weighs the company’s wish for flexibility against the interests of employees, within the rules and culture of the organisation.</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company’s scheduling policy.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management, branch managers and employees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employment law is in the background, but the core is this company’s policy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student version printed double-sided, pens, timer. Two teams of 3–5 students, a jury of 2–3 people (students or teachers). Allow 75 minutes.</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make clear that the jury does not judge on winning, but on reasoning, respect for the other side and processing criticism. Use the rubric below.</w:t>
      </w:r>
    </w:p>
    <w:p>
      <w:pPr>
        <w:pStyle w:val="ListParagraph"/>
        <w:numPr>
          <w:ilvl w:val="0"/>
          <w:numId w:val="2"/>
        </w:numPr>
        <w:spacing w:after="40" w:line="260"/>
      </w:pPr>
      <w:r>
        <w:rPr>
          <w:rFonts w:ascii="Arial" w:cs="Arial" w:eastAsia="Arial" w:hAnsi="Arial"/>
          <w:b/>
          <w:bCs/>
          <w:sz w:val="19"/>
          <w:szCs w:val="19"/>
        </w:rPr>
        <w:t xml:space="preserve">Name and source: </w:t>
      </w:r>
      <w:r>
        <w:rPr>
          <w:rFonts w:ascii="Arial" w:cs="Arial" w:eastAsia="Arial" w:hAnsi="Arial"/>
          <w:sz w:val="19"/>
          <w:szCs w:val="19"/>
        </w:rPr>
        <w:t xml:space="preserve">the format has been worked out in our own words after the Ethics Bowl (Ladenson, 2001). The official name is used by APPE, which is why this method is called an ethics competition here.</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Teams work against each other instead of with each other. Remind them of the role of critical friend.</w:t>
      </w:r>
    </w:p>
    <w:p>
      <w:pPr>
        <w:pStyle w:val="ListParagraph"/>
        <w:numPr>
          <w:ilvl w:val="0"/>
          <w:numId w:val="2"/>
        </w:numPr>
        <w:spacing w:after="40" w:line="260"/>
      </w:pPr>
      <w:r>
        <w:rPr>
          <w:rFonts w:ascii="Arial" w:cs="Arial" w:eastAsia="Arial" w:hAnsi="Arial"/>
          <w:sz w:val="19"/>
          <w:szCs w:val="19"/>
        </w:rPr>
        <w:t xml:space="preserve">Students only name facts. Ask about the principle behind the reason.</w:t>
      </w:r>
    </w:p>
    <w:p>
      <w:pPr>
        <w:pStyle w:val="ListParagraph"/>
        <w:numPr>
          <w:ilvl w:val="0"/>
          <w:numId w:val="2"/>
        </w:numPr>
        <w:spacing w:after="40" w:line="260"/>
      </w:pPr>
      <w:r>
        <w:rPr>
          <w:rFonts w:ascii="Arial" w:cs="Arial" w:eastAsia="Arial" w:hAnsi="Arial"/>
          <w:sz w:val="19"/>
          <w:szCs w:val="19"/>
        </w:rPr>
        <w:t xml:space="preserve">The jury rewards presentation style. Remind them of the rubric.</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RUBRIC FOR THE JURY (1 = WEAK, 4 = STRONG)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single" w:color="BFC5CC" w:sz="4"/>
              <w:left w:val="single" w:color="BFC5CC" w:sz="4"/>
              <w:bottom w:val="single" w:color="BFC5CC" w:sz="4"/>
              <w:right w:val="single" w:color="BFC5CC" w:sz="4"/>
            </w:tcBorders>
            <w:shd w:fill="355070"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Criterion</w:t>
            </w:r>
          </w:p>
        </w:tc>
        <w:tc>
          <w:tcPr>
            <w:tcW w:type="dxa" w:w="6906"/>
            <w:tcBorders>
              <w:top w:val="single" w:color="BFC5CC" w:sz="4"/>
              <w:left w:val="single" w:color="BFC5CC" w:sz="4"/>
              <w:bottom w:val="single" w:color="BFC5CC" w:sz="4"/>
              <w:right w:val="single" w:color="BFC5CC" w:sz="4"/>
            </w:tcBorders>
            <w:shd w:fill="355070"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What do you see at 4?</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Reasoning</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The position is clear, with reasons and principles that fit together.</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Perspectives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At least two perspectives (consequences, rights, character) are named and applied.</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Critical friend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Strengths are named; questions are targeted and help the other team further.</w:t>
            </w:r>
          </w:p>
        </w:tc>
      </w:tr>
      <w:tr>
        <w:tc>
          <w:tcPr>
            <w:tcW w:type="dxa" w:w="3000"/>
            <w:tcBorders>
              <w:top w:val="single" w:color="BFC5CC" w:sz="4"/>
              <w:left w:val="single" w:color="BFC5CC" w:sz="4"/>
              <w:bottom w:val="single" w:color="BFC5CC" w:sz="4"/>
              <w:right w:val="single" w:color="BFC5CC" w:sz="4"/>
            </w:tcBorders>
            <w:shd w:fill="E6EBF2" w:color="auto" w:val="clear"/>
            <w:tcMar>
              <w:top w:type="dxa" w:w="60"/>
              <w:left w:type="dxa" w:w="100"/>
              <w:bottom w:type="dxa" w:w="60"/>
              <w:right w:type="dxa" w:w="100"/>
            </w:tcMar>
          </w:tcPr>
          <w:p>
            <w:pPr>
              <w:spacing w:after="20" w:line="232"/>
            </w:pPr>
            <w:r>
              <w:rPr>
                <w:rFonts w:ascii="Arial" w:cs="Arial" w:eastAsia="Arial" w:hAnsi="Arial"/>
                <w:b/>
                <w:bCs/>
                <w:color w:val="355070"/>
                <w:sz w:val="17"/>
                <w:szCs w:val="17"/>
              </w:rPr>
              <w:t xml:space="preserve">Processing criticism</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The team adjusts its position, or explains why not.</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(50 min): </w:t>
      </w:r>
      <w:r>
        <w:rPr>
          <w:rFonts w:ascii="Arial" w:cs="Arial" w:eastAsia="Arial" w:hAnsi="Arial"/>
          <w:sz w:val="19"/>
          <w:szCs w:val="19"/>
        </w:rPr>
        <w:t xml:space="preserve">one round, without the second case.</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breakout rooms for preparation and one main room for the presentation.</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let several pairs of teams work at the same time, each with its own jury.</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Ladenson, R. F. (2001). The educational significance of the Ethics Bowl. Teaching Ethics, 1(1), 63–78.</w:t>
      </w:r>
    </w:p>
    <w:p>
      <w:pPr/>
      <w:r/>
      <w:r>
        <w:rPr>
          <w:i/>
        </w:rPr>
        <w:t>Meijer, K. (2023). Impossible and inevitable: Reconstructing the critique of business ethics [Doctoral dissertation, Tilburg University]. Ridderprint BV.</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Method based on: ethics competition (after the Ethics Bowl format, Ladenson, 2001; own name and elaboration). Adaptation and case: Moral Craftsmanship, moralcraftsmanship.com.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MW20 Available within 24 hours (Higher education HRM, EN, teacher version)</dc:title>
  <dc:creator>Moreel Vakmanschap</dc:creator>
  <cp:lastModifiedBy>Moral Craftsmanship</cp:lastModifiedBy>
  <cp:revision>1</cp:revision>
  <dcterms:created xsi:type="dcterms:W3CDTF">2026-09-30T09:24:23.676Z</dcterms:created>
  <dcterms:modified xsi:type="dcterms:W3CDTF">2026-09-30T09:24:23.676Z</dcterms:modified>
  <dc:language>en-GB</dc:language>
</cp:coreProperties>
</file>

<file path=docProps/custom.xml><?xml version="1.0" encoding="utf-8"?>
<Properties xmlns="http://schemas.openxmlformats.org/officeDocument/2006/custom-properties" xmlns:vt="http://schemas.openxmlformats.org/officeDocument/2006/docPropsVTypes"/>
</file>