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300"/>
        <w:gridCol w:w="2606"/>
      </w:tblGrid>
      <w:tr>
        <w:tc>
          <w:tcPr>
            <w:tcW w:type="dxa" w:w="7300"/>
            <w:tcBorders>
              <w:top w:val="none" w:color="FFFFFF" w:sz="0"/>
              <w:left w:val="none" w:color="FFFFFF" w:sz="0"/>
              <w:bottom w:val="single" w:color="F0B429" w:sz="24"/>
              <w:right w:val="none" w:color="FFFFFF" w:sz="0"/>
            </w:tcBorders>
            <w:shd w:fill="3B6EA8" w:color="auto" w:val="clear"/>
            <w:tcMar>
              <w:top w:type="dxa" w:w="140"/>
              <w:left w:type="dxa" w:w="220"/>
              <w:bottom w:type="dxa" w:w="140"/>
              <w:right w:type="dxa" w:w="120"/>
            </w:tcMar>
          </w:tcPr>
          <w:p>
            <w:pPr>
              <w:spacing w:after="40"/>
            </w:pPr>
            <w:r>
              <w:rPr>
                <w:rFonts w:ascii="Arial" w:cs="Arial" w:eastAsia="Arial" w:hAnsi="Arial"/>
                <w:b/>
                <w:bCs/>
                <w:color w:val="F3C98B"/>
                <w:spacing w:val="30"/>
                <w:sz w:val="16"/>
                <w:szCs w:val="16"/>
              </w:rPr>
              <w:t xml:space="preserve">TEACHER VERSION · MW36</w:t>
            </w:r>
          </w:p>
          <w:p>
            <w:pPr>
              <w:spacing w:after="40" w:line="250"/>
            </w:pPr>
            <w:r>
              <w:rPr>
                <w:rFonts w:ascii="Arial" w:cs="Arial" w:eastAsia="Arial" w:hAnsi="Arial"/>
                <w:b/>
                <w:bCs/>
                <w:color w:val="FFFFFF"/>
                <w:sz w:val="34"/>
                <w:szCs w:val="34"/>
              </w:rPr>
              <w:t xml:space="preserve">One budget, two programmes</w:t>
            </w:r>
          </w:p>
          <w:p>
            <w:pPr>
              <w:spacing w:after="0"/>
            </w:pPr>
            <w:r>
              <w:rPr>
                <w:rFonts w:ascii="Arial" w:cs="Arial" w:eastAsia="Arial" w:hAnsi="Arial"/>
                <w:color w:val="DDE6F0"/>
                <w:sz w:val="19"/>
                <w:szCs w:val="19"/>
              </w:rPr>
              <w:t xml:space="preserve">Higher education (UAS) · HRM · English · accompanies the 2-page student version</w:t>
            </w:r>
          </w:p>
        </w:tc>
        <w:tc>
          <w:tcPr>
            <w:tcW w:type="dxa" w:w="2606"/>
            <w:tcBorders>
              <w:top w:val="none" w:color="FFFFFF" w:sz="0"/>
              <w:left w:val="none" w:color="FFFFFF" w:sz="0"/>
              <w:bottom w:val="single" w:color="F0B429" w:sz="24"/>
              <w:right w:val="none" w:color="FFFFFF" w:sz="0"/>
            </w:tcBorders>
            <w:shd w:fill="993556" w:color="auto" w:val="clear"/>
            <w:tcMar>
              <w:top w:type="dxa" w:w="100"/>
              <w:left w:type="dxa" w:w="100"/>
              <w:bottom w:type="dxa" w:w="100"/>
              <w:right w:type="dxa" w:w="100"/>
            </w:tcMar>
            <w:vAlign w:val="center"/>
          </w:tcPr>
          <w:p>
            <w:pPr>
              <w:spacing w:after="30"/>
              <w:jc w:val="center"/>
            </w:pPr>
            <w:r>
              <w:rPr>
                <w:rFonts w:ascii="Arial" w:cs="Arial" w:eastAsia="Arial" w:hAnsi="Arial"/>
                <w:b/>
                <w:bCs/>
                <w:color w:val="F5D9E2"/>
                <w:spacing w:val="30"/>
                <w:sz w:val="14"/>
                <w:szCs w:val="14"/>
              </w:rPr>
              <w:t xml:space="preserve">COMPLEXITY</w:t>
            </w:r>
          </w:p>
          <w:p>
            <w:pPr>
              <w:spacing w:after="0"/>
              <w:jc w:val="center"/>
            </w:pPr>
            <w:r>
              <w:rPr>
                <w:rFonts w:ascii="Arial" w:cs="Arial" w:eastAsia="Arial" w:hAnsi="Arial"/>
                <w:b/>
                <w:bCs/>
                <w:color w:val="FFFFFF"/>
                <w:sz w:val="26"/>
                <w:szCs w:val="26"/>
              </w:rPr>
              <w:t xml:space="preserve">MESO ★★☆</w:t>
            </w:r>
          </w:p>
        </w:tc>
      </w:tr>
    </w:tbl>
    <w:p>
      <w:pPr>
        <w:keepNext/>
        <w:pBdr>
          <w:bottom w:val="single" w:color="5B2D8E" w:sz="8" w:space="2"/>
        </w:pBdr>
        <w:spacing w:after="90" w:before="200"/>
      </w:pPr>
      <w:r>
        <w:rPr>
          <w:rFonts w:ascii="Arial" w:cs="Arial" w:eastAsia="Arial" w:hAnsi="Arial"/>
          <w:b/>
          <w:bCs/>
          <w:color w:val="5B2D8E"/>
          <w:spacing w:val="30"/>
          <w:sz w:val="20"/>
          <w:szCs w:val="20"/>
        </w:rPr>
        <w:t xml:space="preserve">LEARNING OUTCOMES</w:t>
      </w:r>
    </w:p>
    <w:p>
      <w:pPr>
        <w:pStyle w:val="ListParagraph"/>
        <w:numPr>
          <w:ilvl w:val="0"/>
          <w:numId w:val="2"/>
        </w:numPr>
        <w:spacing w:after="40" w:line="260"/>
      </w:pPr>
      <w:r>
        <w:rPr>
          <w:rFonts w:ascii="Arial" w:cs="Arial" w:eastAsia="Arial" w:hAnsi="Arial"/>
          <w:sz w:val="19"/>
          <w:szCs w:val="19"/>
        </w:rPr>
        <w:t xml:space="preserve">The student can examine an HR dilemma through four ethical lenses. (Weighing)</w:t>
      </w:r>
    </w:p>
    <w:p>
      <w:pPr>
        <w:pStyle w:val="ListParagraph"/>
        <w:numPr>
          <w:ilvl w:val="0"/>
          <w:numId w:val="2"/>
        </w:numPr>
        <w:spacing w:after="40" w:line="260"/>
      </w:pPr>
      <w:r>
        <w:rPr>
          <w:rFonts w:ascii="Arial" w:cs="Arial" w:eastAsia="Arial" w:hAnsi="Arial"/>
          <w:sz w:val="19"/>
          <w:szCs w:val="19"/>
        </w:rPr>
        <w:t xml:space="preserve">The student can explain how the lenses can lead to different choices. (Weighing)</w:t>
      </w:r>
    </w:p>
    <w:p>
      <w:pPr>
        <w:pStyle w:val="ListParagraph"/>
        <w:numPr>
          <w:ilvl w:val="0"/>
          <w:numId w:val="2"/>
        </w:numPr>
        <w:spacing w:after="40" w:line="260"/>
      </w:pPr>
      <w:r>
        <w:rPr>
          <w:rFonts w:ascii="Arial" w:cs="Arial" w:eastAsia="Arial" w:hAnsi="Arial"/>
          <w:sz w:val="19"/>
          <w:szCs w:val="19"/>
        </w:rPr>
        <w:t xml:space="preserve">The student can substantiate a choice and name the lens that weighs most heavily for them. (Weighing)</w:t>
      </w:r>
    </w:p>
    <w:p>
      <w:pPr>
        <w:keepNext/>
        <w:pBdr>
          <w:bottom w:val="single" w:color="5B2D8E" w:sz="8" w:space="2"/>
        </w:pBdr>
        <w:spacing w:after="90" w:before="200"/>
      </w:pPr>
      <w:r>
        <w:rPr>
          <w:rFonts w:ascii="Arial" w:cs="Arial" w:eastAsia="Arial" w:hAnsi="Arial"/>
          <w:b/>
          <w:bCs/>
          <w:color w:val="5B2D8E"/>
          <w:spacing w:val="30"/>
          <w:sz w:val="20"/>
          <w:szCs w:val="20"/>
        </w:rPr>
        <w:t xml:space="preserve">COMPLEXITY: WHY MESO?</w:t>
      </w:r>
    </w:p>
    <w:p>
      <w:pPr>
        <w:spacing w:after="50" w:line="264"/>
      </w:pPr>
      <w:r>
        <w:rPr>
          <w:rFonts w:ascii="Arial" w:cs="Arial" w:eastAsia="Arial" w:hAnsi="Arial"/>
          <w:i/>
          <w:iCs/>
          <w:sz w:val="19"/>
          <w:szCs w:val="19"/>
        </w:rPr>
        <w:t xml:space="preserve">Meso: the HR adviser weighs the interests of management, high potentials and older colleagues within the budget and culture of the organisation.</w:t>
      </w:r>
    </w:p>
    <w:p>
      <w:pPr>
        <w:pStyle w:val="ListParagraph"/>
        <w:numPr>
          <w:ilvl w:val="0"/>
          <w:numId w:val="2"/>
        </w:numPr>
        <w:spacing w:after="40" w:line="260"/>
      </w:pPr>
      <w:r>
        <w:rPr>
          <w:rFonts w:ascii="Arial" w:cs="Arial" w:eastAsia="Arial" w:hAnsi="Arial"/>
          <w:b/>
          <w:bCs/>
          <w:sz w:val="19"/>
          <w:szCs w:val="19"/>
        </w:rPr>
        <w:t xml:space="preserve">Test: </w:t>
      </w:r>
      <w:r>
        <w:rPr>
          <w:rFonts w:ascii="Arial" w:cs="Arial" w:eastAsia="Arial" w:hAnsi="Arial"/>
          <w:sz w:val="19"/>
          <w:szCs w:val="19"/>
        </w:rPr>
        <w:t xml:space="preserve">“Who or what would have to change for this dilemma to disappear?” Answer: the way the company organises its training budget and how it values employees. That is Meso.</w:t>
      </w:r>
    </w:p>
    <w:p>
      <w:pPr>
        <w:pStyle w:val="ListParagraph"/>
        <w:numPr>
          <w:ilvl w:val="0"/>
          <w:numId w:val="2"/>
        </w:numPr>
        <w:spacing w:after="40" w:line="260"/>
      </w:pPr>
      <w:r>
        <w:rPr>
          <w:rFonts w:ascii="Arial" w:cs="Arial" w:eastAsia="Arial" w:hAnsi="Arial"/>
          <w:b/>
          <w:bCs/>
          <w:sz w:val="19"/>
          <w:szCs w:val="19"/>
        </w:rPr>
        <w:t xml:space="preserve">Not Micro: </w:t>
      </w:r>
      <w:r>
        <w:rPr>
          <w:rFonts w:ascii="Arial" w:cs="Arial" w:eastAsia="Arial" w:hAnsi="Arial"/>
          <w:sz w:val="19"/>
          <w:szCs w:val="19"/>
        </w:rPr>
        <w:t xml:space="preserve">management, team leader and several employees play a significant role (decision rule 2).</w:t>
      </w:r>
    </w:p>
    <w:p>
      <w:pPr>
        <w:pStyle w:val="ListParagraph"/>
        <w:numPr>
          <w:ilvl w:val="0"/>
          <w:numId w:val="2"/>
        </w:numPr>
        <w:spacing w:after="40" w:line="260"/>
      </w:pPr>
      <w:r>
        <w:rPr>
          <w:rFonts w:ascii="Arial" w:cs="Arial" w:eastAsia="Arial" w:hAnsi="Arial"/>
          <w:b/>
          <w:bCs/>
          <w:sz w:val="19"/>
          <w:szCs w:val="19"/>
        </w:rPr>
        <w:t xml:space="preserve">Not Macro: </w:t>
      </w:r>
      <w:r>
        <w:rPr>
          <w:rFonts w:ascii="Arial" w:cs="Arial" w:eastAsia="Arial" w:hAnsi="Arial"/>
          <w:sz w:val="19"/>
          <w:szCs w:val="19"/>
        </w:rPr>
        <w:t xml:space="preserve">equal treatment is in the background, but the core is policy within this company (decision rule 3).</w:t>
      </w:r>
    </w:p>
    <w:p>
      <w:pPr>
        <w:keepNext/>
        <w:pBdr>
          <w:bottom w:val="single" w:color="5B2D8E" w:sz="8" w:space="2"/>
        </w:pBdr>
        <w:spacing w:after="90" w:before="200"/>
      </w:pPr>
      <w:r>
        <w:rPr>
          <w:rFonts w:ascii="Arial" w:cs="Arial" w:eastAsia="Arial" w:hAnsi="Arial"/>
          <w:b/>
          <w:bCs/>
          <w:color w:val="5B2D8E"/>
          <w:spacing w:val="30"/>
          <w:sz w:val="20"/>
          <w:szCs w:val="20"/>
        </w:rPr>
        <w:t xml:space="preserve">PREPARATION AND PROCEDURE</w:t>
      </w:r>
    </w:p>
    <w:p>
      <w:pPr>
        <w:pStyle w:val="ListParagraph"/>
        <w:numPr>
          <w:ilvl w:val="0"/>
          <w:numId w:val="2"/>
        </w:numPr>
        <w:spacing w:after="40" w:line="260"/>
      </w:pPr>
      <w:r>
        <w:rPr>
          <w:rFonts w:ascii="Arial" w:cs="Arial" w:eastAsia="Arial" w:hAnsi="Arial"/>
          <w:b/>
          <w:bCs/>
          <w:sz w:val="19"/>
          <w:szCs w:val="19"/>
        </w:rPr>
        <w:t xml:space="preserve">Materials: </w:t>
      </w:r>
      <w:r>
        <w:rPr>
          <w:rFonts w:ascii="Arial" w:cs="Arial" w:eastAsia="Arial" w:hAnsi="Arial"/>
          <w:sz w:val="19"/>
          <w:szCs w:val="19"/>
        </w:rPr>
        <w:t xml:space="preserve">student version printed double-sided, pens, timer. Groups of 2–4. Allow 60 minutes; at research universities you can take extra time to critique the lenses.</w:t>
      </w:r>
    </w:p>
    <w:p>
      <w:pPr>
        <w:pStyle w:val="ListParagraph"/>
        <w:numPr>
          <w:ilvl w:val="0"/>
          <w:numId w:val="2"/>
        </w:numPr>
        <w:spacing w:after="40" w:line="260"/>
      </w:pPr>
      <w:r>
        <w:rPr>
          <w:rFonts w:ascii="Arial" w:cs="Arial" w:eastAsia="Arial" w:hAnsi="Arial"/>
          <w:b/>
          <w:bCs/>
          <w:sz w:val="19"/>
          <w:szCs w:val="19"/>
        </w:rPr>
        <w:t xml:space="preserve">Role of the facilitator: </w:t>
      </w:r>
      <w:r>
        <w:rPr>
          <w:rFonts w:ascii="Arial" w:cs="Arial" w:eastAsia="Arial" w:hAnsi="Arial"/>
          <w:sz w:val="19"/>
          <w:szCs w:val="19"/>
        </w:rPr>
        <w:t xml:space="preserve">let students apply the lenses first before offering criticism. Ask: “Which facts are still missing?” and not: “What is the right answer?”</w:t>
      </w:r>
    </w:p>
    <w:p>
      <w:pPr>
        <w:pStyle w:val="ListParagraph"/>
        <w:numPr>
          <w:ilvl w:val="0"/>
          <w:numId w:val="2"/>
        </w:numPr>
        <w:spacing w:after="40" w:line="260"/>
      </w:pPr>
      <w:r>
        <w:rPr>
          <w:rFonts w:ascii="Arial" w:cs="Arial" w:eastAsia="Arial" w:hAnsi="Arial"/>
          <w:b/>
          <w:bCs/>
          <w:sz w:val="19"/>
          <w:szCs w:val="19"/>
        </w:rPr>
        <w:t xml:space="preserve">Source and licence: </w:t>
      </w:r>
      <w:r>
        <w:rPr>
          <w:rFonts w:ascii="Arial" w:cs="Arial" w:eastAsia="Arial" w:hAnsi="Arial"/>
          <w:sz w:val="19"/>
          <w:szCs w:val="19"/>
        </w:rPr>
        <w:t xml:space="preserve">the four lenses have been adapted in our own words from Matthews (2019), CC BY 4.0. The worksheet has been shortened and given an original case, and is licensed under CC BY-SA 4.0. Check “except where otherwise noted” for each chapter before using more.</w:t>
      </w:r>
    </w:p>
    <w:p>
      <w:pPr>
        <w:keepNext/>
        <w:pBdr>
          <w:bottom w:val="single" w:color="5B2D8E" w:sz="8" w:space="2"/>
        </w:pBdr>
        <w:spacing w:after="90" w:before="200"/>
      </w:pPr>
      <w:r>
        <w:rPr>
          <w:rFonts w:ascii="Arial" w:cs="Arial" w:eastAsia="Arial" w:hAnsi="Arial"/>
          <w:b/>
          <w:bCs/>
          <w:color w:val="5B2D8E"/>
          <w:spacing w:val="30"/>
          <w:sz w:val="20"/>
          <w:szCs w:val="20"/>
        </w:rPr>
        <w:t xml:space="preserve">PITFALLS</w:t>
      </w:r>
    </w:p>
    <w:p>
      <w:pPr>
        <w:pStyle w:val="ListParagraph"/>
        <w:numPr>
          <w:ilvl w:val="0"/>
          <w:numId w:val="2"/>
        </w:numPr>
        <w:spacing w:after="40" w:line="260"/>
      </w:pPr>
      <w:r>
        <w:rPr>
          <w:rFonts w:ascii="Arial" w:cs="Arial" w:eastAsia="Arial" w:hAnsi="Arial"/>
          <w:sz w:val="19"/>
          <w:szCs w:val="19"/>
        </w:rPr>
        <w:t xml:space="preserve">Students look for “the right lens”. Stress that the lenses ask questions and do not give answers.</w:t>
      </w:r>
    </w:p>
    <w:p>
      <w:pPr>
        <w:pStyle w:val="ListParagraph"/>
        <w:numPr>
          <w:ilvl w:val="0"/>
          <w:numId w:val="2"/>
        </w:numPr>
        <w:spacing w:after="40" w:line="260"/>
      </w:pPr>
      <w:r>
        <w:rPr>
          <w:rFonts w:ascii="Arial" w:cs="Arial" w:eastAsia="Arial" w:hAnsi="Arial"/>
          <w:sz w:val="19"/>
          <w:szCs w:val="19"/>
        </w:rPr>
        <w:t xml:space="preserve">Consequences are reduced to costs. Ask about the effect on trust, opportunities and health.</w:t>
      </w:r>
    </w:p>
    <w:p>
      <w:pPr>
        <w:pStyle w:val="ListParagraph"/>
        <w:numPr>
          <w:ilvl w:val="0"/>
          <w:numId w:val="2"/>
        </w:numPr>
        <w:spacing w:after="40" w:line="260"/>
      </w:pPr>
      <w:r>
        <w:rPr>
          <w:rFonts w:ascii="Arial" w:cs="Arial" w:eastAsia="Arial" w:hAnsi="Arial"/>
          <w:sz w:val="19"/>
          <w:szCs w:val="19"/>
        </w:rPr>
        <w:t xml:space="preserve">Care becomes “being nice”. Ask about relationships and vulnerability: who cannot stand up for themselves?</w:t>
      </w:r>
    </w:p>
    <w:p>
      <w:pPr>
        <w:keepNext/>
        <w:pageBreakBefore/>
        <w:pBdr>
          <w:bottom w:val="single" w:color="5B2D8E" w:sz="8" w:space="2"/>
        </w:pBdr>
        <w:spacing w:after="90" w:before="200"/>
      </w:pPr>
      <w:r>
        <w:rPr>
          <w:rFonts w:ascii="Arial" w:cs="Arial" w:eastAsia="Arial" w:hAnsi="Arial"/>
          <w:b/>
          <w:bCs/>
          <w:color w:val="5B2D8E"/>
          <w:spacing w:val="30"/>
          <w:sz w:val="20"/>
          <w:szCs w:val="20"/>
        </w:rPr>
        <w:t xml:space="preserve">THE FOUR LENSES IN BRIEF (IN OUR OWN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00"/>
        <w:gridCol w:w="7106"/>
      </w:tblGrid>
      <w:tr>
        <w:tc>
          <w:tcPr>
            <w:tcW w:type="dxa" w:w="2800"/>
            <w:tcBorders>
              <w:top w:val="single" w:color="BFC5CC" w:sz="4"/>
              <w:left w:val="single" w:color="BFC5CC" w:sz="4"/>
              <w:bottom w:val="single" w:color="BFC5CC" w:sz="4"/>
              <w:right w:val="single" w:color="BFC5CC" w:sz="4"/>
            </w:tcBorders>
            <w:shd w:fill="3B6EA8" w:color="auto" w:val="clear"/>
            <w:tcMar>
              <w:top w:type="dxa" w:w="60"/>
              <w:left w:type="dxa" w:w="100"/>
              <w:bottom w:type="dxa" w:w="60"/>
              <w:right w:type="dxa" w:w="100"/>
            </w:tcMar>
          </w:tcPr>
          <w:p>
            <w:pPr>
              <w:spacing w:after="20" w:line="232"/>
            </w:pPr>
            <w:r>
              <w:rPr>
                <w:rFonts w:ascii="Arial" w:cs="Arial" w:eastAsia="Arial" w:hAnsi="Arial"/>
                <w:b/>
                <w:bCs/>
                <w:color w:val="FFFFFF"/>
                <w:sz w:val="17"/>
                <w:szCs w:val="17"/>
              </w:rPr>
              <w:t xml:space="preserve">Lens</w:t>
            </w:r>
          </w:p>
        </w:tc>
        <w:tc>
          <w:tcPr>
            <w:tcW w:type="dxa" w:w="7106"/>
            <w:tcBorders>
              <w:top w:val="single" w:color="BFC5CC" w:sz="4"/>
              <w:left w:val="single" w:color="BFC5CC" w:sz="4"/>
              <w:bottom w:val="single" w:color="BFC5CC" w:sz="4"/>
              <w:right w:val="single" w:color="BFC5CC" w:sz="4"/>
            </w:tcBorders>
            <w:shd w:fill="3B6EA8" w:color="auto" w:val="clear"/>
            <w:tcMar>
              <w:top w:type="dxa" w:w="60"/>
              <w:left w:type="dxa" w:w="100"/>
              <w:bottom w:type="dxa" w:w="60"/>
              <w:right w:type="dxa" w:w="100"/>
            </w:tcMar>
          </w:tcPr>
          <w:p>
            <w:pPr>
              <w:spacing w:after="20" w:line="232"/>
            </w:pPr>
            <w:r>
              <w:rPr>
                <w:rFonts w:ascii="Arial" w:cs="Arial" w:eastAsia="Arial" w:hAnsi="Arial"/>
                <w:b/>
                <w:bCs/>
                <w:color w:val="FFFFFF"/>
                <w:sz w:val="17"/>
                <w:szCs w:val="17"/>
              </w:rPr>
              <w:t xml:space="preserve">Core question</w:t>
            </w:r>
          </w:p>
        </w:tc>
      </w:tr>
      <w:tr>
        <w:tc>
          <w:tcPr>
            <w:tcW w:type="dxa" w:w="2800"/>
            <w:tcBorders>
              <w:top w:val="single" w:color="BFC5CC" w:sz="4"/>
              <w:left w:val="single" w:color="BFC5CC" w:sz="4"/>
              <w:bottom w:val="single" w:color="BFC5CC" w:sz="4"/>
              <w:right w:val="single" w:color="BFC5CC" w:sz="4"/>
            </w:tcBorders>
            <w:shd w:fill="E6EEF7" w:color="auto" w:val="clear"/>
            <w:tcMar>
              <w:top w:type="dxa" w:w="60"/>
              <w:left w:type="dxa" w:w="100"/>
              <w:bottom w:type="dxa" w:w="60"/>
              <w:right w:type="dxa" w:w="100"/>
            </w:tcMar>
          </w:tcPr>
          <w:p>
            <w:pPr>
              <w:spacing w:after="20" w:line="232"/>
            </w:pPr>
            <w:r>
              <w:rPr>
                <w:rFonts w:ascii="Arial" w:cs="Arial" w:eastAsia="Arial" w:hAnsi="Arial"/>
                <w:b/>
                <w:bCs/>
                <w:color w:val="3B6EA8"/>
                <w:sz w:val="17"/>
                <w:szCs w:val="17"/>
              </w:rPr>
              <w:t xml:space="preserve">Consequences (utilitarianism)</w:t>
            </w:r>
          </w:p>
        </w:tc>
        <w:tc>
          <w:tcPr>
            <w:tcW w:type="dxa" w:w="7106"/>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line="232"/>
            </w:pPr>
            <w:r>
              <w:rPr>
                <w:rFonts w:ascii="Arial" w:cs="Arial" w:eastAsia="Arial" w:hAnsi="Arial"/>
                <w:sz w:val="17"/>
                <w:szCs w:val="17"/>
              </w:rPr>
              <w:t xml:space="preserve">Which choice produces the most wellbeing for everyone affected?</w:t>
            </w:r>
          </w:p>
        </w:tc>
      </w:tr>
      <w:tr>
        <w:tc>
          <w:tcPr>
            <w:tcW w:type="dxa" w:w="2800"/>
            <w:tcBorders>
              <w:top w:val="single" w:color="BFC5CC" w:sz="4"/>
              <w:left w:val="single" w:color="BFC5CC" w:sz="4"/>
              <w:bottom w:val="single" w:color="BFC5CC" w:sz="4"/>
              <w:right w:val="single" w:color="BFC5CC" w:sz="4"/>
            </w:tcBorders>
            <w:shd w:fill="E6EEF7" w:color="auto" w:val="clear"/>
            <w:tcMar>
              <w:top w:type="dxa" w:w="60"/>
              <w:left w:type="dxa" w:w="100"/>
              <w:bottom w:type="dxa" w:w="60"/>
              <w:right w:type="dxa" w:w="100"/>
            </w:tcMar>
          </w:tcPr>
          <w:p>
            <w:pPr>
              <w:spacing w:after="20" w:line="232"/>
            </w:pPr>
            <w:r>
              <w:rPr>
                <w:rFonts w:ascii="Arial" w:cs="Arial" w:eastAsia="Arial" w:hAnsi="Arial"/>
                <w:b/>
                <w:bCs/>
                <w:color w:val="3B6EA8"/>
                <w:sz w:val="17"/>
                <w:szCs w:val="17"/>
              </w:rPr>
              <w:t xml:space="preserve">Duties and rights</w:t>
            </w:r>
          </w:p>
        </w:tc>
        <w:tc>
          <w:tcPr>
            <w:tcW w:type="dxa" w:w="7106"/>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line="232"/>
            </w:pPr>
            <w:r>
              <w:rPr>
                <w:rFonts w:ascii="Arial" w:cs="Arial" w:eastAsia="Arial" w:hAnsi="Arial"/>
                <w:sz w:val="17"/>
                <w:szCs w:val="17"/>
              </w:rPr>
              <w:t xml:space="preserve">Which rules or promises apply, even if they deliver nothing? What must not be done to anyone?</w:t>
            </w:r>
          </w:p>
        </w:tc>
      </w:tr>
      <w:tr>
        <w:tc>
          <w:tcPr>
            <w:tcW w:type="dxa" w:w="2800"/>
            <w:tcBorders>
              <w:top w:val="single" w:color="BFC5CC" w:sz="4"/>
              <w:left w:val="single" w:color="BFC5CC" w:sz="4"/>
              <w:bottom w:val="single" w:color="BFC5CC" w:sz="4"/>
              <w:right w:val="single" w:color="BFC5CC" w:sz="4"/>
            </w:tcBorders>
            <w:shd w:fill="E6EEF7" w:color="auto" w:val="clear"/>
            <w:tcMar>
              <w:top w:type="dxa" w:w="60"/>
              <w:left w:type="dxa" w:w="100"/>
              <w:bottom w:type="dxa" w:w="60"/>
              <w:right w:type="dxa" w:w="100"/>
            </w:tcMar>
          </w:tcPr>
          <w:p>
            <w:pPr>
              <w:spacing w:after="20" w:line="232"/>
            </w:pPr>
            <w:r>
              <w:rPr>
                <w:rFonts w:ascii="Arial" w:cs="Arial" w:eastAsia="Arial" w:hAnsi="Arial"/>
                <w:b/>
                <w:bCs/>
                <w:color w:val="3B6EA8"/>
                <w:sz w:val="17"/>
                <w:szCs w:val="17"/>
              </w:rPr>
              <w:t xml:space="preserve">Virtues</w:t>
            </w:r>
          </w:p>
        </w:tc>
        <w:tc>
          <w:tcPr>
            <w:tcW w:type="dxa" w:w="7106"/>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line="232"/>
            </w:pPr>
            <w:r>
              <w:rPr>
                <w:rFonts w:ascii="Arial" w:cs="Arial" w:eastAsia="Arial" w:hAnsi="Arial"/>
                <w:sz w:val="17"/>
                <w:szCs w:val="17"/>
              </w:rPr>
              <w:t xml:space="preserve">What would someone of good character (honest, courageous, just) do here?</w:t>
            </w:r>
          </w:p>
        </w:tc>
      </w:tr>
      <w:tr>
        <w:tc>
          <w:tcPr>
            <w:tcW w:type="dxa" w:w="2800"/>
            <w:tcBorders>
              <w:top w:val="single" w:color="BFC5CC" w:sz="4"/>
              <w:left w:val="single" w:color="BFC5CC" w:sz="4"/>
              <w:bottom w:val="single" w:color="BFC5CC" w:sz="4"/>
              <w:right w:val="single" w:color="BFC5CC" w:sz="4"/>
            </w:tcBorders>
            <w:shd w:fill="E6EEF7" w:color="auto" w:val="clear"/>
            <w:tcMar>
              <w:top w:type="dxa" w:w="60"/>
              <w:left w:type="dxa" w:w="100"/>
              <w:bottom w:type="dxa" w:w="60"/>
              <w:right w:type="dxa" w:w="100"/>
            </w:tcMar>
          </w:tcPr>
          <w:p>
            <w:pPr>
              <w:spacing w:after="20" w:line="232"/>
            </w:pPr>
            <w:r>
              <w:rPr>
                <w:rFonts w:ascii="Arial" w:cs="Arial" w:eastAsia="Arial" w:hAnsi="Arial"/>
                <w:b/>
                <w:bCs/>
                <w:color w:val="3B6EA8"/>
                <w:sz w:val="17"/>
                <w:szCs w:val="17"/>
              </w:rPr>
              <w:t xml:space="preserve">Care</w:t>
            </w:r>
          </w:p>
        </w:tc>
        <w:tc>
          <w:tcPr>
            <w:tcW w:type="dxa" w:w="7106"/>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line="232"/>
            </w:pPr>
            <w:r>
              <w:rPr>
                <w:rFonts w:ascii="Arial" w:cs="Arial" w:eastAsia="Arial" w:hAnsi="Arial"/>
                <w:sz w:val="17"/>
                <w:szCs w:val="17"/>
              </w:rPr>
              <w:t xml:space="preserve">Who is dependent or vulnerable, and how do we maintain the relationship?</w:t>
            </w:r>
          </w:p>
        </w:tc>
      </w:tr>
    </w:tbl>
    <w:p>
      <w:pPr>
        <w:keepNext/>
        <w:pBdr>
          <w:bottom w:val="single" w:color="5B2D8E" w:sz="8" w:space="2"/>
        </w:pBdr>
        <w:spacing w:after="90" w:before="200"/>
      </w:pPr>
      <w:r>
        <w:rPr>
          <w:rFonts w:ascii="Arial" w:cs="Arial" w:eastAsia="Arial" w:hAnsi="Arial"/>
          <w:b/>
          <w:bCs/>
          <w:color w:val="5B2D8E"/>
          <w:spacing w:val="30"/>
          <w:sz w:val="20"/>
          <w:szCs w:val="20"/>
        </w:rPr>
        <w:t xml:space="preserve">VARIATIONS AND DIFFERENTIATION</w:t>
      </w:r>
    </w:p>
    <w:p>
      <w:pPr>
        <w:pStyle w:val="ListParagraph"/>
        <w:numPr>
          <w:ilvl w:val="0"/>
          <w:numId w:val="2"/>
        </w:numPr>
        <w:spacing w:after="40" w:line="260"/>
      </w:pPr>
      <w:r>
        <w:rPr>
          <w:rFonts w:ascii="Arial" w:cs="Arial" w:eastAsia="Arial" w:hAnsi="Arial"/>
          <w:b/>
          <w:bCs/>
          <w:sz w:val="19"/>
          <w:szCs w:val="19"/>
        </w:rPr>
        <w:t xml:space="preserve">Shorter (40 min): </w:t>
      </w:r>
      <w:r>
        <w:rPr>
          <w:rFonts w:ascii="Arial" w:cs="Arial" w:eastAsia="Arial" w:hAnsi="Arial"/>
          <w:sz w:val="19"/>
          <w:szCs w:val="19"/>
        </w:rPr>
        <w:t xml:space="preserve">let groups work out two lenses and share in plenary.</w:t>
      </w:r>
    </w:p>
    <w:p>
      <w:pPr>
        <w:pStyle w:val="ListParagraph"/>
        <w:numPr>
          <w:ilvl w:val="0"/>
          <w:numId w:val="2"/>
        </w:numPr>
        <w:spacing w:after="40" w:line="260"/>
      </w:pPr>
      <w:r>
        <w:rPr>
          <w:rFonts w:ascii="Arial" w:cs="Arial" w:eastAsia="Arial" w:hAnsi="Arial"/>
          <w:b/>
          <w:bCs/>
          <w:sz w:val="19"/>
          <w:szCs w:val="19"/>
        </w:rPr>
        <w:t xml:space="preserve">Online: </w:t>
      </w:r>
      <w:r>
        <w:rPr>
          <w:rFonts w:ascii="Arial" w:cs="Arial" w:eastAsia="Arial" w:hAnsi="Arial"/>
          <w:sz w:val="19"/>
          <w:szCs w:val="19"/>
        </w:rPr>
        <w:t xml:space="preserve">use a shared document with four columns.</w:t>
      </w:r>
    </w:p>
    <w:p>
      <w:pPr>
        <w:pStyle w:val="ListParagraph"/>
        <w:numPr>
          <w:ilvl w:val="0"/>
          <w:numId w:val="2"/>
        </w:numPr>
        <w:spacing w:after="40" w:line="260"/>
      </w:pPr>
      <w:r>
        <w:rPr>
          <w:rFonts w:ascii="Arial" w:cs="Arial" w:eastAsia="Arial" w:hAnsi="Arial"/>
          <w:b/>
          <w:bCs/>
          <w:sz w:val="19"/>
          <w:szCs w:val="19"/>
        </w:rPr>
        <w:t xml:space="preserve">Large group: </w:t>
      </w:r>
      <w:r>
        <w:rPr>
          <w:rFonts w:ascii="Arial" w:cs="Arial" w:eastAsia="Arial" w:hAnsi="Arial"/>
          <w:sz w:val="19"/>
          <w:szCs w:val="19"/>
        </w:rPr>
        <w:t xml:space="preserve">give each group one lens and combine in plenary.</w:t>
      </w:r>
    </w:p>
    <w:p>
      <w:pPr>
        <w:pStyle w:val="ListParagraph"/>
        <w:numPr>
          <w:ilvl w:val="0"/>
          <w:numId w:val="2"/>
        </w:numPr>
        <w:spacing w:after="40" w:line="260"/>
      </w:pPr>
      <w:r>
        <w:rPr>
          <w:rFonts w:ascii="Arial" w:cs="Arial" w:eastAsia="Arial" w:hAnsi="Arial"/>
          <w:b/>
          <w:bCs/>
          <w:sz w:val="19"/>
          <w:szCs w:val="19"/>
        </w:rPr>
        <w:t xml:space="preserve">Higher education (this version): </w:t>
      </w:r>
      <w:r>
        <w:rPr>
          <w:rFonts w:ascii="Arial" w:cs="Arial" w:eastAsia="Arial" w:hAnsi="Arial"/>
          <w:sz w:val="19"/>
          <w:szCs w:val="19"/>
        </w:rPr>
        <w:t xml:space="preserve">at least two ethical perspectives and a well-founded choice. For vocational education: CEFR B1 language and one question per step. For research universities: name and critique theories explicitly.</w:t>
      </w:r>
    </w:p>
    <w:p>
      <w:pPr>
        <w:keepNext/>
        <w:pBdr>
          <w:bottom w:val="single" w:color="5B2D8E" w:sz="8" w:space="2"/>
        </w:pBdr>
        <w:spacing w:after="90" w:before="200"/>
      </w:pPr>
      <w:r>
        <w:rPr>
          <w:rFonts w:ascii="Arial" w:cs="Arial" w:eastAsia="Arial" w:hAnsi="Arial"/>
          <w:b/>
          <w:bCs/>
          <w:color w:val="5B2D8E"/>
          <w:spacing w:val="30"/>
          <w:sz w:val="20"/>
          <w:szCs w:val="20"/>
        </w:rPr>
        <w:t xml:space="preserve">REFERENCES (APA 7)</w:t>
      </w:r>
    </w:p>
    <w:p>
      <w:pPr>
        <w:spacing w:after="40" w:line="240"/>
        <w:ind w:left="360" w:hanging="360"/>
      </w:pPr>
      <w:r>
        <w:rPr>
          <w:rFonts w:ascii="Arial" w:cs="Arial" w:eastAsia="Arial" w:hAnsi="Arial"/>
          <w:color w:val="333333"/>
          <w:sz w:val="16"/>
          <w:szCs w:val="16"/>
        </w:rPr>
        <w:t xml:space="preserve">Creative Commons. (n.d.). About CC licenses. https://creativecommons.org/share-your-work/cclicenses/</w:t>
      </w:r>
    </w:p>
    <w:p>
      <w:pPr>
        <w:spacing w:after="40" w:line="240"/>
        <w:ind w:left="360" w:hanging="360"/>
      </w:pPr>
      <w:r>
        <w:rPr>
          <w:rFonts w:ascii="Arial" w:cs="Arial" w:eastAsia="Arial" w:hAnsi="Arial"/>
          <w:color w:val="333333"/>
          <w:sz w:val="16"/>
          <w:szCs w:val="16"/>
        </w:rPr>
        <w:t xml:space="preserve">Matthews, G. (Ed.). (2019). Introduction to philosophy: Ethics. Rebus Community. https://press.rebus.community/intro-to-phil-ethics/</w:t>
      </w:r>
    </w:p>
    <w:p>
      <w:pPr/>
      <w:r/>
      <w:r>
        <w:rPr>
          <w:i/>
        </w:rPr>
        <w:t>Meijer, K. (2023). Impossible and inevitable: Reconstructing the critique of business ethics [Doctoral dissertation, Tilburg University]. Ridderprint BV.</w:t>
      </w:r>
    </w:p>
    <w:p>
      <w:pPr>
        <w:spacing w:after="0" w:before="40"/>
      </w:pPr>
      <w:r>
        <w:rPr>
          <w:rFonts w:ascii="Arial" w:cs="Arial" w:eastAsia="Arial" w:hAnsi="Arial"/>
          <w:i/>
          <w:iCs/>
          <w:color w:val="5F5E5A"/>
          <w:sz w:val="15"/>
          <w:szCs w:val="15"/>
        </w:rPr>
        <w:t xml:space="preserve">Complexity determined using the research group’s working definition, based on the micro-meso-macro thinking of .</w:t>
      </w:r>
    </w:p>
    <w:sectPr>
      <w:headerReference w:type="default" r:id="rId7"/>
      <w:footerReference w:type="default" r:id="rId8"/>
      <w:headerReference w:type="first" r:id="rId10"/>
      <w:footerReference w:type="first" r:id="rId11"/>
      <w:pgSz w:w="11906" w:h="16838" w:orient="portrait"/>
      <w:pgMar w:top="1250" w:right="1000" w:bottom="900" w:left="1000" w:header="500"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C5CC" w:sz="4" w:space="4"/>
      </w:pBdr>
      <w:spacing w:before="60"/>
    </w:pPr>
    <w:r>
      <w:rPr>
        <w:rFonts w:ascii="Arial" w:cs="Arial" w:eastAsia="Arial" w:hAnsi="Arial"/>
        <w:i/>
        <w:iCs/>
        <w:color w:val="5F5E5A"/>
        <w:sz w:val="14"/>
        <w:szCs w:val="14"/>
      </w:rPr>
      <w:t xml:space="preserve">Adapted from: Introduction to Philosophy: Ethics – G. Matthews (Ed.), Rebus Community – CC BY 4.0 – https://press.rebus.community/intro-to-phil-ethics/. Changes: shortened and given an original case by Moral Craftsmanship. Licence: CC BY-SA 4.0 – https://creativecommons.org/licenses/by-sa/4.0/deed.en</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906"/>
      </w:tabs>
      <w:spacing w:after="60"/>
    </w:pPr>
    <w:r>
      <w:rPr>
        <w:rFonts w:ascii="Arial" w:cs="Arial" w:eastAsia="Arial" w:hAnsi="Arial"/>
        <w:b/>
        <w:bCs/>
        <w:color w:val="5F5E5A"/>
        <w:spacing w:val="20"/>
        <w:sz w:val="15"/>
        <w:szCs w:val="15"/>
      </w:rPr>
      <w:t xml:space="preserve">MORAL CRAFTSMANSHIP · RESEARCH GROUP ETHICAL PRACTICE · TEACHER VERSION</w:t>
    </w:r>
    <w:r>
      <w:rPr>
        <w:rFonts w:ascii="Arial" w:cs="Arial" w:eastAsia="Arial" w:hAnsi="Arial"/>
      </w:rPr>
      <w:tab/>
    </w:r>
    <w:r>
      <w:drawing>
        <wp:inline distT="0" distB="0" distL="0" distR="0">
          <wp:extent cx="838200" cy="476250"/>
          <wp:effectExtent t="0" r="0" b="0" l="0"/>
          <wp:docPr id="1" name="logo" descr="Fontys logo" title="Font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38200" cy="476250"/>
                  </a:xfrm>
                  <a:prstGeom prst="rect">
                    <a:avLst/>
                  </a:prstGeom>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00" w:hanging="400"/>
      </w:pPr>
      <w:rPr>
        <w:rFonts w:ascii="Arial" w:cs="Arial" w:eastAsia="Arial" w:hAnsi="Arial"/>
        <w:b/>
        <w:bCs/>
        <w:color w:val="5B2D8E"/>
      </w:rPr>
    </w:lvl>
  </w:abstractNum>
  <w:abstractNum w:abstractNumId="3" w15:restartNumberingAfterBreak="0">
    <w:multiLevelType w:val="hybridMultilevel"/>
    <w:lvl w:ilvl="0" w15:tentative="1">
      <w:start w:val="1"/>
      <w:numFmt w:val="bullet"/>
      <w:lvlText w:val="•"/>
      <w:lvlJc w:val="left"/>
      <w:pPr>
        <w:ind w:left="360" w:hanging="260"/>
      </w:pPr>
      <w:rPr>
        <w:rFonts w:ascii="Arial" w:cs="Arial" w:eastAsia="Arial" w:hAnsi="Arial"/>
        <w:color w:val="5B2D8E"/>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header" Target="header2.xml"/><Relationship Id="rId11" Type="http://schemas.openxmlformats.org/officeDocument/2006/relationships/footer" Target="footer2.xml"/></Relationships>
</file>

<file path=word/_rels/header1.xml.rels><?xml version='1.0' encoding='UTF-8' standalone='yes'?>
<Relationships xmlns="http://schemas.openxmlformats.org/package/2006/relationships"><Relationship Id="rId0" Type="http://schemas.openxmlformats.org/officeDocument/2006/relationships/image" Target="media/bf0743bdfa2aebd701f32a08f734a4287c2ee9cc.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MW36 One budget, two programmes (Higher education HRM, EN, teacher version)</dc:title>
  <dc:creator>Moreel Vakmanschap</dc:creator>
  <cp:lastModifiedBy>Moral Craftsmanship</cp:lastModifiedBy>
  <cp:revision>1</cp:revision>
  <dcterms:created xsi:type="dcterms:W3CDTF">2026-09-30T11:01:59.293Z</dcterms:created>
  <dcterms:modified xsi:type="dcterms:W3CDTF">2026-09-30T11:01:59.293Z</dcterms:modified>
  <dc:language>en-GB</dc:language>
</cp:coreProperties>
</file>

<file path=docProps/custom.xml><?xml version="1.0" encoding="utf-8"?>
<Properties xmlns="http://schemas.openxmlformats.org/officeDocument/2006/custom-properties" xmlns:vt="http://schemas.openxmlformats.org/officeDocument/2006/docPropsVTypes"/>
</file>