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FCB77" w:sz="24"/>
              <w:right w:val="none" w:color="FFFFFF" w:sz="0"/>
            </w:tcBorders>
            <w:shd w:fill="227C9D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MW03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confidential report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FCB77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clearly formulate a moral problem in HR practice.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separate facts from assumptions.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the values of those involved and substantiate a decision.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the HR adviser weighs the reporter’s wish against the reporting procedure and the company culture, with several people involved.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reporting procedure and the culture in the company.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manager, team, HR and organisational rules play a significant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Macro: </w:t>
      </w:r>
      <w:r>
        <w:rPr>
          <w:rFonts w:ascii="Arial" w:cs="Arial" w:eastAsia="Arial" w:hAnsi="Arial"/>
          <w:sz w:val="19"/>
          <w:szCs w:val="19"/>
        </w:rPr>
        <w:t xml:space="preserve">legislation on inappropriate behaviour is in the background, but the core is how people treat each other within the organisation (decision rule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Groups of 4–10. Allow 60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watch the separation between facts and assumptions in block B. The method comes from healthcare; help students translate it to HRM.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the four blocks have been adapted to HRM in our own words (Steinkamp &amp; Gordijn, 2003). The original questionnaire has not been copied literally.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skip block B and go straight to values.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Values remain general (“respect”). Ask what that means concretely here.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decision is only about the manager. Also ask what the reporter needs.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GUIDANCE PER BLOCK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27C9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Block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27C9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27C9D"/>
                <w:sz w:val="17"/>
                <w:szCs w:val="17"/>
              </w:rPr>
              <w:t xml:space="preserve">A. Problem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is the dilemma and who has to decide on it?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27C9D"/>
                <w:sz w:val="17"/>
                <w:szCs w:val="17"/>
              </w:rPr>
              <w:t xml:space="preserve">B. Facts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has been reported? What do we know about the rules? What are we missing?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27C9D"/>
                <w:sz w:val="17"/>
                <w:szCs w:val="17"/>
              </w:rPr>
              <w:t xml:space="preserve">C. Values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Which values are in opposition? Who bears the consequences?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27C9D"/>
                <w:sz w:val="17"/>
                <w:szCs w:val="17"/>
              </w:rPr>
              <w:t xml:space="preserve">D. Decision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Which option is defensible? What do we arrange for the reporter?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(40 min): </w:t>
      </w:r>
      <w:r>
        <w:rPr>
          <w:rFonts w:ascii="Arial" w:cs="Arial" w:eastAsia="Arial" w:hAnsi="Arial"/>
          <w:sz w:val="19"/>
          <w:szCs w:val="19"/>
        </w:rPr>
        <w:t xml:space="preserve">skip block B or work with two people involved.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a shared document with the four blocks.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let groups each work out one block and present together.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/>
      <w:r/>
      <w:r>
        <w:rPr>
          <w:i/>
        </w:rPr>
        <w:t>Meijer, K. (2023). Impossible and inevitable: Reconstructing the critique of business ethics [Doctoral dissertation, Tilburg University]. Ridderprint BV.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Steinkamp, N., &amp; Gordijn, B. (2003). Ethical case deliberation on the ward: A comparison of four methods. Medicine, Health Care and Philosophy, 6(3), 235–246. https://doi.org/10.1023/A:1025928617468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based on the micro-meso-macro thinking of 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moral deliberation in four blocks (Steinkamp &amp; Gordijn, 2003; adapted to HRM in our own words).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MW03 The confidential report (Higher education HRM, EN, teacher version)</dc:title>
  <dc:creator>Moreel Vakmanschap</dc:creator>
  <cp:lastModifiedBy>Moral Craftsmanship</cp:lastModifiedBy>
  <cp:revision>1</cp:revision>
  <dcterms:created xsi:type="dcterms:W3CDTF">2026-09-30T10:35:03.788Z</dcterms:created>
  <dcterms:modified xsi:type="dcterms:W3CDTF">2026-09-30T10:35:03.788Z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