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8B4A0" w:sz="24"/>
              <w:right w:val="none" w:color="FFFFFF" w:sz="0"/>
            </w:tcBorders>
            <w:shd w:fill="5E3B52"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MW06</w:t>
            </w:r>
          </w:p>
          <w:p>
            <w:pPr>
              <w:spacing w:after="40" w:line="250"/>
            </w:pPr>
            <w:r>
              <w:rPr>
                <w:rFonts w:ascii="Arial" w:cs="Arial" w:eastAsia="Arial" w:hAnsi="Arial"/>
                <w:b/>
                <w:bCs/>
                <w:color w:val="FFFFFF"/>
                <w:sz w:val="34"/>
                <w:szCs w:val="34"/>
              </w:rPr>
              <w:t xml:space="preserve">The silent lunch</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E8B4A0"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name their own feelings about a difficult team issue in a structured circle. (Feeling)</w:t>
      </w:r>
    </w:p>
    <w:p>
      <w:pPr>
        <w:pStyle w:val="ListParagraph"/>
        <w:numPr>
          <w:ilvl w:val="0"/>
          <w:numId w:val="2"/>
        </w:numPr>
        <w:spacing w:after="40" w:line="260"/>
      </w:pPr>
      <w:r>
        <w:rPr>
          <w:rFonts w:ascii="Arial" w:cs="Arial" w:eastAsia="Arial" w:hAnsi="Arial"/>
          <w:sz w:val="19"/>
          <w:szCs w:val="19"/>
        </w:rPr>
        <w:t xml:space="preserve">The student can listen without giving advice or judgement. (Feeling)</w:t>
      </w:r>
    </w:p>
    <w:p>
      <w:pPr>
        <w:pStyle w:val="ListParagraph"/>
        <w:numPr>
          <w:ilvl w:val="0"/>
          <w:numId w:val="2"/>
        </w:numPr>
        <w:spacing w:after="40" w:line="260"/>
      </w:pPr>
      <w:r>
        <w:rPr>
          <w:rFonts w:ascii="Arial" w:cs="Arial" w:eastAsia="Arial" w:hAnsi="Arial"/>
          <w:sz w:val="19"/>
          <w:szCs w:val="19"/>
        </w:rPr>
        <w:t xml:space="preserve">The student can name what is needed to sustain a difficult conversation in a team. (Persisting)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team leader weighs her own judgement against the culture of the team (“we don’t talk about feelings here”) and the expectations of colleagues.</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culture of the team.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several colleagues and a team culture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law or policy is not the core here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chairs in a circle without tables, a neutral talking piece (for example a stone or pen), timer. Allow 60 minutes; with more than 12 students, use two circles.</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keep the circle, take part yourself and be the first to pass the object on. Guard time and agreements; do not impose content on the conversation.</w:t>
      </w:r>
    </w:p>
    <w:p>
      <w:pPr>
        <w:pStyle w:val="ListParagraph"/>
        <w:numPr>
          <w:ilvl w:val="0"/>
          <w:numId w:val="2"/>
        </w:numPr>
        <w:spacing w:after="40" w:line="260"/>
      </w:pPr>
      <w:r>
        <w:rPr>
          <w:rFonts w:ascii="Arial" w:cs="Arial" w:eastAsia="Arial" w:hAnsi="Arial"/>
          <w:b/>
          <w:bCs/>
          <w:sz w:val="19"/>
          <w:szCs w:val="19"/>
        </w:rPr>
        <w:t xml:space="preserve">Origins and respect: </w:t>
      </w:r>
      <w:r>
        <w:rPr>
          <w:rFonts w:ascii="Arial" w:cs="Arial" w:eastAsia="Arial" w:hAnsi="Arial"/>
          <w:sz w:val="19"/>
          <w:szCs w:val="19"/>
        </w:rPr>
        <w:t xml:space="preserve">briefly mention beforehand that the circle format comes from Indigenous traditions (Pranis, 2005). Do not use ritual elements such as sage or feathers and do not present the format as your own invention.</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Students feel forced to share. Repeat that passing without speaking is allowed.</w:t>
      </w:r>
    </w:p>
    <w:p>
      <w:pPr>
        <w:pStyle w:val="ListParagraph"/>
        <w:numPr>
          <w:ilvl w:val="0"/>
          <w:numId w:val="2"/>
        </w:numPr>
        <w:spacing w:after="40" w:line="260"/>
      </w:pPr>
      <w:r>
        <w:rPr>
          <w:rFonts w:ascii="Arial" w:cs="Arial" w:eastAsia="Arial" w:hAnsi="Arial"/>
          <w:sz w:val="19"/>
          <w:szCs w:val="19"/>
        </w:rPr>
        <w:t xml:space="preserve">Students give advice or respond to each other. Remind them of the circle agreements.</w:t>
      </w:r>
    </w:p>
    <w:p>
      <w:pPr>
        <w:pStyle w:val="ListParagraph"/>
        <w:numPr>
          <w:ilvl w:val="0"/>
          <w:numId w:val="2"/>
        </w:numPr>
        <w:spacing w:after="40" w:line="260"/>
      </w:pPr>
      <w:r>
        <w:rPr>
          <w:rFonts w:ascii="Arial" w:cs="Arial" w:eastAsia="Arial" w:hAnsi="Arial"/>
          <w:sz w:val="19"/>
          <w:szCs w:val="19"/>
        </w:rPr>
        <w:t xml:space="preserve">Students share something heavy from their private lives. Keep it to internships, work or study and refer them on if necessary.</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ALTERNATIVE ROUND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C5CC" w:sz="4"/>
              <w:left w:val="single" w:color="BFC5CC" w:sz="4"/>
              <w:bottom w:val="single" w:color="BFC5CC" w:sz="4"/>
              <w:right w:val="single" w:color="BFC5CC" w:sz="4"/>
            </w:tcBorders>
            <w:shd w:fill="5E3B52"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Round</w:t>
            </w:r>
          </w:p>
        </w:tc>
        <w:tc>
          <w:tcPr>
            <w:tcW w:type="dxa" w:w="7706"/>
            <w:tcBorders>
              <w:top w:val="single" w:color="BFC5CC" w:sz="4"/>
              <w:left w:val="single" w:color="BFC5CC" w:sz="4"/>
              <w:bottom w:val="single" w:color="BFC5CC" w:sz="4"/>
              <w:right w:val="single" w:color="BFC5CC" w:sz="4"/>
            </w:tcBorders>
            <w:shd w:fill="5E3B52"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Example questions</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Opening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What have you brought with you to this circle? How are you sitting here now?</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Deepening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When did you feel heard in a team? What made that possible?</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Deepening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Which value is under pressure for you in your work?</w:t>
            </w:r>
          </w:p>
        </w:tc>
      </w:tr>
      <w:tr>
        <w:tc>
          <w:tcPr>
            <w:tcW w:type="dxa" w:w="2200"/>
            <w:tcBorders>
              <w:top w:val="single" w:color="BFC5CC" w:sz="4"/>
              <w:left w:val="single" w:color="BFC5CC" w:sz="4"/>
              <w:bottom w:val="single" w:color="BFC5CC" w:sz="4"/>
              <w:right w:val="single" w:color="BFC5CC" w:sz="4"/>
            </w:tcBorders>
            <w:shd w:fill="F1E9EE" w:color="auto" w:val="clear"/>
            <w:tcMar>
              <w:top w:type="dxa" w:w="60"/>
              <w:left w:type="dxa" w:w="100"/>
              <w:bottom w:type="dxa" w:w="60"/>
              <w:right w:type="dxa" w:w="100"/>
            </w:tcMar>
          </w:tcPr>
          <w:p>
            <w:pPr>
              <w:spacing w:after="20" w:line="232"/>
            </w:pPr>
            <w:r>
              <w:rPr>
                <w:rFonts w:ascii="Arial" w:cs="Arial" w:eastAsia="Arial" w:hAnsi="Arial"/>
                <w:b/>
                <w:bCs/>
                <w:color w:val="5E3B52"/>
                <w:sz w:val="17"/>
                <w:szCs w:val="17"/>
              </w:rPr>
              <w:t xml:space="preserve">Closing</w:t>
            </w:r>
          </w:p>
        </w:tc>
        <w:tc>
          <w:tcPr>
            <w:tcW w:type="dxa" w:w="77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What do you take with you? What do you leave here?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(45 min): </w:t>
      </w:r>
      <w:r>
        <w:rPr>
          <w:rFonts w:ascii="Arial" w:cs="Arial" w:eastAsia="Arial" w:hAnsi="Arial"/>
          <w:sz w:val="19"/>
          <w:szCs w:val="19"/>
        </w:rPr>
        <w:t xml:space="preserve">skip the preparation and do two rounds.</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a fixed order of turns with cameras on; the object is passed “on” by naming the next person.</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two circles side by side, each with a circle keeper.</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r/>
      <w:r>
        <w:rPr>
          <w:i/>
        </w:rPr>
        <w:t>Meijer, K. (2023). Impossible and inevitable: Reconstructing the critique of business ethics [Doctoral dissertation, Tilburg University]. Ridderprint BV.</w:t>
      </w:r>
    </w:p>
    <w:p>
      <w:pPr>
        <w:spacing w:after="40" w:line="240"/>
        <w:ind w:left="360" w:hanging="360"/>
      </w:pPr>
      <w:r>
        <w:rPr>
          <w:rFonts w:ascii="Arial" w:cs="Arial" w:eastAsia="Arial" w:hAnsi="Arial"/>
          <w:color w:val="333333"/>
          <w:sz w:val="16"/>
          <w:szCs w:val="16"/>
        </w:rPr>
        <w:t xml:space="preserve">Pranis, K. (2005). The little book of circle processes: A new/old approach to peacemaking. Good Books.</w:t>
      </w:r>
    </w:p>
    <w:p>
      <w:pPr>
        <w:spacing w:after="0" w:before="40"/>
      </w:pPr>
      <w:r>
        <w:rPr>
          <w:rFonts w:ascii="Arial" w:cs="Arial" w:eastAsia="Arial" w:hAnsi="Arial"/>
          <w:i/>
          <w:iCs/>
          <w:color w:val="5F5E5A"/>
          <w:sz w:val="15"/>
          <w:szCs w:val="15"/>
        </w:rPr>
        <w:t xml:space="preserve">Complexity determined using the research group’s working definition, based on the micro-meso-macro thinking of .</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talking circle (Pranis, 2005; with respect for the Indigenous origins of the circle format).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MW06 The silent lunch (Higher education HRM, EN, teacher version)</dc:title>
  <dc:creator>Moreel Vakmanschap</dc:creator>
  <cp:lastModifiedBy>Moral Craftsmanship</cp:lastModifiedBy>
  <cp:revision>1</cp:revision>
  <dcterms:created xsi:type="dcterms:W3CDTF">2026-09-29T10:22:50.433Z</dcterms:created>
  <dcterms:modified xsi:type="dcterms:W3CDTF">2026-09-29T10:22:50.433Z</dcterms:modified>
  <dc:language>en-GB</dc:language>
</cp:coreProperties>
</file>

<file path=docProps/custom.xml><?xml version="1.0" encoding="utf-8"?>
<Properties xmlns="http://schemas.openxmlformats.org/officeDocument/2006/custom-properties" xmlns:vt="http://schemas.openxmlformats.org/officeDocument/2006/docPropsVTypes"/>
</file>