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300"/>
        <w:gridCol w:w="2606"/>
      </w:tblGrid>
      <w:tr>
        <w:tc>
          <w:tcPr>
            <w:tcW w:type="dxa" w:w="7300"/>
            <w:tcBorders>
              <w:top w:val="none" w:color="FFFFFF" w:sz="0"/>
              <w:left w:val="none" w:color="FFFFFF" w:sz="0"/>
              <w:bottom w:val="single" w:color="F6BD60" w:sz="24"/>
              <w:right w:val="none" w:color="FFFFFF" w:sz="0"/>
            </w:tcBorders>
            <w:shd w:fill="354F52" w:color="auto" w:val="clear"/>
            <w:tcMar>
              <w:top w:type="dxa" w:w="140"/>
              <w:left w:type="dxa" w:w="220"/>
              <w:bottom w:type="dxa" w:w="14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3C98B"/>
                <w:spacing w:val="30"/>
                <w:sz w:val="16"/>
                <w:szCs w:val="16"/>
              </w:rPr>
              <w:t xml:space="preserve">DOCENTENVERSIE · MW10</w:t>
            </w:r>
          </w:p>
          <w:p>
            <w:pPr>
              <w:spacing w:after="4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34"/>
                <w:szCs w:val="34"/>
              </w:rPr>
              <w:t xml:space="preserve">Het recht om offline te zijn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DDE6F0"/>
                <w:sz w:val="19"/>
                <w:szCs w:val="19"/>
              </w:rPr>
              <w:t xml:space="preserve">HBO · HRM · Nederlands · bij de studentenversie van 2 pagina’s</w:t>
            </w:r>
          </w:p>
        </w:tc>
        <w:tc>
          <w:tcPr>
            <w:tcW w:type="dxa" w:w="2606"/>
            <w:tcBorders>
              <w:top w:val="none" w:color="FFFFFF" w:sz="0"/>
              <w:left w:val="none" w:color="FFFFFF" w:sz="0"/>
              <w:bottom w:val="single" w:color="F6BD60" w:sz="24"/>
              <w:right w:val="none" w:color="FFFFFF" w:sz="0"/>
            </w:tcBorders>
            <w:shd w:fill="993556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b/>
                <w:bCs/>
                <w:color w:val="F5D9E2"/>
                <w:spacing w:val="30"/>
                <w:sz w:val="14"/>
                <w:szCs w:val="14"/>
              </w:rPr>
              <w:t xml:space="preserve">COMPLEXITEIT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MACRO ★★★</w:t>
            </w:r>
          </w:p>
        </w:tc>
      </w:tr>
    </w:tbl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LEERUITKOMSTEN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De student kan de betrokkenen bij een beleidsvoorstel systematisch in kaart brengen. (Zien)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De student kan per belanghebbende gevolgen benoemen vanuit welzijn, autonomie en rechtvaardigheid. (Zien, Wegen)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De student kan een standpunt formuleren en onderbouwen met de matrix. (Wegen)</w:t>
      </w:r>
    </w:p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COMPLEXITEIT: WAAROM MACRO?</w:t>
      </w:r>
    </w:p>
    <w:p>
      <w:pPr>
        <w:spacing w:after="50" w:line="264"/>
      </w:pPr>
      <w:r>
        <w:rPr>
          <w:rFonts w:ascii="Arial" w:cs="Arial" w:eastAsia="Arial" w:hAnsi="Arial"/>
          <w:i/>
          <w:iCs/>
          <w:sz w:val="19"/>
          <w:szCs w:val="19"/>
        </w:rPr>
        <w:t xml:space="preserve">Macro: de spanning zit op het niveau van wetgeving en arbeidsmarktbeleid, en geen enkele werkgever of adviseur kan het dilemma alleen oplossen.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Toets: </w:t>
      </w:r>
      <w:r>
        <w:rPr>
          <w:rFonts w:ascii="Arial" w:cs="Arial" w:eastAsia="Arial" w:hAnsi="Arial"/>
          <w:sz w:val="19"/>
          <w:szCs w:val="19"/>
        </w:rPr>
        <w:t xml:space="preserve">“Wie of wat zou er moeten veranderen om dit dilemma te laten verdwijnen?” Antwoord: de wet en het maatschappelijke systeem. Dat is Macro.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Niet Meso: </w:t>
      </w:r>
      <w:r>
        <w:rPr>
          <w:rFonts w:ascii="Arial" w:cs="Arial" w:eastAsia="Arial" w:hAnsi="Arial"/>
          <w:sz w:val="19"/>
          <w:szCs w:val="19"/>
        </w:rPr>
        <w:t xml:space="preserve">de vraag is niet hoe één organisatie omgaat met bereikbaarheid, maar wat voor een hele markt eerlijk is (beslisregel 3).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Let op: </w:t>
      </w:r>
      <w:r>
        <w:rPr>
          <w:rFonts w:ascii="Arial" w:cs="Arial" w:eastAsia="Arial" w:hAnsi="Arial"/>
          <w:sz w:val="19"/>
          <w:szCs w:val="19"/>
        </w:rPr>
        <w:t xml:space="preserve">dit is een tweede Macro-casus in de reeks. Studenten kunnen zich klein voelen; benadruk dat adviseurs beleidsstandpunten voorbereiden.</w:t>
      </w:r>
    </w:p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VOORBEREIDING EN VERLOOP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Materiaal: </w:t>
      </w:r>
      <w:r>
        <w:rPr>
          <w:rFonts w:ascii="Arial" w:cs="Arial" w:eastAsia="Arial" w:hAnsi="Arial"/>
          <w:sz w:val="19"/>
          <w:szCs w:val="19"/>
        </w:rPr>
        <w:t xml:space="preserve">studentenversie dubbelzijdig geprint, pennen, timer. Groepjes van 3–6. Neem 60 minuten.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Rol van de begeleider: </w:t>
      </w:r>
      <w:r>
        <w:rPr>
          <w:rFonts w:ascii="Arial" w:cs="Arial" w:eastAsia="Arial" w:hAnsi="Arial"/>
          <w:sz w:val="19"/>
          <w:szCs w:val="19"/>
        </w:rPr>
        <w:t xml:space="preserve">let op de cellen die studenten overslaan; die zijn vaak het interessantst. De drie principes mogen worden aangepast aan het model (zie variaties).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Bron: </w:t>
      </w:r>
      <w:r>
        <w:rPr>
          <w:rFonts w:ascii="Arial" w:cs="Arial" w:eastAsia="Arial" w:hAnsi="Arial"/>
          <w:sz w:val="19"/>
          <w:szCs w:val="19"/>
        </w:rPr>
        <w:t xml:space="preserve">de matrix is in eigen woorden uitgewerkt naar Mepham (2000).</w:t>
      </w:r>
    </w:p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VALKUILEN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Studenten vullen alleen effecten voor werkgevers in. Vraag naar de stille partijen.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De matrix wordt een rekensom. Het gaat om wegen, niet om optellen.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Studenten kiezen een standpunt vóór de matrix. Laat eerst invullen.</w:t>
      </w:r>
    </w:p>
    <w:p>
      <w:pPr>
        <w:keepNext/>
        <w:pageBreakBefore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MOGELIJKE INVULLING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906"/>
      </w:tblGrid>
      <w:tr>
        <w:tc>
          <w:tcPr>
            <w:tcW w:type="dxa" w:w="30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354F5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Partij</w:t>
            </w:r>
          </w:p>
        </w:tc>
        <w:tc>
          <w:tcPr>
            <w:tcW w:type="dxa" w:w="69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354F5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Voorbeeld van wat er speelt</w:t>
            </w:r>
          </w:p>
        </w:tc>
      </w:tr>
      <w:tr>
        <w:tc>
          <w:tcPr>
            <w:tcW w:type="dxa" w:w="30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8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b/>
                <w:bCs/>
                <w:color w:val="354F52"/>
                <w:sz w:val="17"/>
                <w:szCs w:val="17"/>
              </w:rPr>
              <w:t xml:space="preserve">Werknemer met vast contract</w:t>
            </w:r>
          </w:p>
        </w:tc>
        <w:tc>
          <w:tcPr>
            <w:tcW w:type="dxa" w:w="69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Welzijn +: rust. Autonomie −: minder flexibel. Rechtvaardigheid +: gelijke bescherming.</w:t>
            </w:r>
          </w:p>
        </w:tc>
      </w:tr>
      <w:tr>
        <w:tc>
          <w:tcPr>
            <w:tcW w:type="dxa" w:w="30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8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b/>
                <w:bCs/>
                <w:color w:val="354F52"/>
                <w:sz w:val="17"/>
                <w:szCs w:val="17"/>
              </w:rPr>
              <w:t xml:space="preserve">Werknemer in zorg of ploegendienst</w:t>
            </w:r>
          </w:p>
        </w:tc>
        <w:tc>
          <w:tcPr>
            <w:tcW w:type="dxa" w:w="69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Weinig verandering; risico dat de wet vooral kantoorwerk beschermt (rechtvaardigheid −).</w:t>
            </w:r>
          </w:p>
        </w:tc>
      </w:tr>
      <w:tr>
        <w:tc>
          <w:tcPr>
            <w:tcW w:type="dxa" w:w="30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8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b/>
                <w:bCs/>
                <w:color w:val="354F52"/>
                <w:sz w:val="17"/>
                <w:szCs w:val="17"/>
              </w:rPr>
              <w:t xml:space="preserve">Kleine ondernemer of zelfstandige</w:t>
            </w:r>
          </w:p>
        </w:tc>
        <w:tc>
          <w:tcPr>
            <w:tcW w:type="dxa" w:w="69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Autonomie −: klantverwachting blijft. Welzijn ±: eigen grenzen stellen wordt lastiger.</w:t>
            </w:r>
          </w:p>
        </w:tc>
      </w:tr>
      <w:tr>
        <w:tc>
          <w:tcPr>
            <w:tcW w:type="dxa" w:w="30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8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b/>
                <w:bCs/>
                <w:color w:val="354F52"/>
                <w:sz w:val="17"/>
                <w:szCs w:val="17"/>
              </w:rPr>
              <w:t xml:space="preserve">Klant of patiënt</w:t>
            </w:r>
          </w:p>
        </w:tc>
        <w:tc>
          <w:tcPr>
            <w:tcW w:type="dxa" w:w="69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Bereikbaarheid daalt; noodgevallen moeten helder gedefinieerd zijn.</w:t>
            </w:r>
          </w:p>
        </w:tc>
      </w:tr>
    </w:tbl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VARIATIES EN DIFFERENTIATIE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Korter (40 min): </w:t>
      </w:r>
      <w:r>
        <w:rPr>
          <w:rFonts w:ascii="Arial" w:cs="Arial" w:eastAsia="Arial" w:hAnsi="Arial"/>
          <w:sz w:val="19"/>
          <w:szCs w:val="19"/>
        </w:rPr>
        <w:t xml:space="preserve">vier partijen en twee principes.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Online: </w:t>
      </w:r>
      <w:r>
        <w:rPr>
          <w:rFonts w:ascii="Arial" w:cs="Arial" w:eastAsia="Arial" w:hAnsi="Arial"/>
          <w:sz w:val="19"/>
          <w:szCs w:val="19"/>
        </w:rPr>
        <w:t xml:space="preserve">gebruik een gedeeld werkblad met de matrix.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Aanpassen aan het model: </w:t>
      </w:r>
      <w:r>
        <w:rPr>
          <w:rFonts w:ascii="Arial" w:cs="Arial" w:eastAsia="Arial" w:hAnsi="Arial"/>
          <w:sz w:val="19"/>
          <w:szCs w:val="19"/>
        </w:rPr>
        <w:t xml:space="preserve">vervang de drie principes door Zien, Voelen, Wegen, Handelen en Volhouden en bespreek per partij.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HBO (deze versie): </w:t>
      </w:r>
      <w:r>
        <w:rPr>
          <w:rFonts w:ascii="Arial" w:cs="Arial" w:eastAsia="Arial" w:hAnsi="Arial"/>
          <w:sz w:val="19"/>
          <w:szCs w:val="19"/>
        </w:rPr>
        <w:t xml:space="preserve">minstens twee ethische perspectieven en een onderbouwde keuze. Voor MBO: B1-taal en één vraag per stap. Voor WO: theorieën expliciet benoemen en bekritiseren.</w:t>
      </w:r>
    </w:p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BRONNEN (APA 7)</w:t>
      </w:r>
    </w:p>
    <w:p>
      <w:pPr>
        <w:spacing w:after="40" w:line="240"/>
        <w:ind w:left="360" w:hanging="360"/>
      </w:pPr>
      <w:r>
        <w:rPr>
          <w:rFonts w:ascii="Arial" w:cs="Arial" w:eastAsia="Arial" w:hAnsi="Arial"/>
          <w:color w:val="333333"/>
          <w:sz w:val="16"/>
          <w:szCs w:val="16"/>
        </w:rPr>
        <w:t xml:space="preserve">Creative Commons. (z.d.). About CC licenses. https://creativecommons.org/share-your-work/cclicenses/</w:t>
      </w:r>
    </w:p>
    <w:p>
      <w:pPr/>
      <w:r/>
      <w:r>
        <w:rPr>
          <w:i/>
        </w:rPr>
        <w:t>Meijer, K. (2023). Impossible and inevitable: Reconstructing the critique of business ethics [Proefschrift, Tilburg University]. Ridderprint BV.</w:t>
      </w:r>
    </w:p>
    <w:p>
      <w:pPr>
        <w:spacing w:after="40" w:line="240"/>
        <w:ind w:left="360" w:hanging="360"/>
      </w:pPr>
      <w:r>
        <w:rPr>
          <w:rFonts w:ascii="Arial" w:cs="Arial" w:eastAsia="Arial" w:hAnsi="Arial"/>
          <w:color w:val="333333"/>
          <w:sz w:val="16"/>
          <w:szCs w:val="16"/>
        </w:rPr>
        <w:t xml:space="preserve">Mepham, B. (2000). A framework for the ethical analysis of novel foods: The ethical matrix. Journal of Agricultural and Environmental Ethics, 12(2), 165–176. https://doi.org/10.1023/A:1009542714497</w:t>
      </w:r>
    </w:p>
    <w:p>
      <w:pPr>
        <w:spacing w:after="0" w:before="40"/>
      </w:pPr>
      <w:r>
        <w:rPr>
          <w:rFonts w:ascii="Arial" w:cs="Arial" w:eastAsia="Arial" w:hAnsi="Arial"/>
          <w:i/>
          <w:iCs/>
          <w:color w:val="5F5E5A"/>
          <w:sz w:val="15"/>
          <w:szCs w:val="15"/>
        </w:rPr>
        <w:t xml:space="preserve">Complexiteit bepaald met de driedeling micro – meso – macro. De driedeling micro – meso – macro is een werkdefinitie van het Lectoraat Ethisch Werken (Fontys), geïnspireerd op het werk van Kim Meijer (2023).</w:t>
      </w:r>
    </w:p>
    <w:sectPr>
      <w:headerReference w:type="default" r:id="rId7"/>
      <w:footerReference w:type="default" r:id="rId8"/>
      <w:pgSz w:w="11906" w:h="16838" w:orient="portrait"/>
      <w:pgMar w:top="1250" w:right="1000" w:bottom="900" w:left="1000" w:header="500" w:footer="4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FC5CC" w:sz="4" w:space="4"/>
      </w:pBdr>
      <w:spacing w:before="60"/>
    </w:pPr>
    <w:r>
      <w:rPr>
        <w:rFonts w:ascii="Arial" w:cs="Arial" w:eastAsia="Arial" w:hAnsi="Arial"/>
        <w:i/>
        <w:iCs/>
        <w:color w:val="5F5E5A"/>
        <w:sz w:val="14"/>
        <w:szCs w:val="14"/>
      </w:rPr>
      <w:t xml:space="preserve">Werkvorm gebaseerd op: ethische matrix (Mepham, 2000). Uitwerking en casus: Moreel Vakmanschap, moreelvakmanschap.nl. Licentie: CC BY-SA 4.0 – https://creativecommons.org/licenses/by-sa/4.0/deed.nl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906"/>
      </w:tabs>
      <w:spacing w:after="60"/>
    </w:pPr>
    <w:r>
      <w:rPr>
        <w:rFonts w:ascii="Arial" w:cs="Arial" w:eastAsia="Arial" w:hAnsi="Arial"/>
        <w:b/>
        <w:bCs/>
        <w:color w:val="5F5E5A"/>
        <w:spacing w:val="20"/>
        <w:sz w:val="15"/>
        <w:szCs w:val="15"/>
      </w:rPr>
      <w:t xml:space="preserve">MOREEL VAKMANSCHAP · LECTORAAT ETHISCH WERKEN · DOCENTENVERSIE</w:t>
    </w:r>
    <w:r>
      <w:rPr>
        <w:rFonts w:ascii="Arial" w:cs="Arial" w:eastAsia="Arial" w:hAnsi="Arial"/>
      </w:rPr>
      <w:tab/>
    </w:r>
    <w:r>
      <w:drawing>
        <wp:inline distT="0" distB="0" distL="0" distR="0">
          <wp:extent cx="838200" cy="476250"/>
          <wp:effectExtent t="0" r="0" b="0" l="0"/>
          <wp:docPr id="1" name="logo" descr="Fontys logo" title="Fonty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38200" cy="4762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400"/>
      </w:pPr>
      <w:rPr>
        <w:rFonts w:ascii="Arial" w:cs="Arial" w:eastAsia="Arial" w:hAnsi="Arial"/>
        <w:b/>
        <w:bCs/>
        <w:color w:val="5B2D8E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  <w:rPr>
        <w:rFonts w:ascii="Arial" w:cs="Arial" w:eastAsia="Arial" w:hAnsi="Arial"/>
        <w:color w:val="5B2D8E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0" Type="http://schemas.openxmlformats.org/officeDocument/2006/relationships/image" Target="media/bf0743bdfa2aebd701f32a08f734a4287c2ee9cc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MW10 Docentenversie – Het recht om offline te zijn</dc:title>
  <dc:creator>Moreel Vakmanschap</dc:creator>
  <cp:lastModifiedBy>Un-named</cp:lastModifiedBy>
  <cp:revision>1</cp:revision>
  <dcterms:created xsi:type="dcterms:W3CDTF">2026-09-29T10:22:51.455Z</dcterms:created>
  <dcterms:modified xsi:type="dcterms:W3CDTF">2026-09-29T10:22:51.455Z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