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2C230" w:sz="24"/>
              <w:right w:val="none" w:color="FFFFFF" w:sz="0"/>
            </w:tcBorders>
            <w:shd w:fill="0B4F6C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MW14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Who is affected by the absence app?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2C230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map everyone involved in an organisational decision, including indirect and silent parties.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for each party what is at stake.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reflect on their own blind spot when mapping interests. (Seeing)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his own judgement against management’s wish and the expectations of drivers, planners, team leaders and the employee council.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organisation introduces its absence policy.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there are many stakeholders and Daan is bound by his role between management and employees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privacy legislation plays a role in the background, but is not the core of the assignment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Pairs or groups of 3–4. Allow 30 minutes. Useful as a stepping stone to a method from the Weighing phase.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probe “the drivers”: which drivers? Think of differences in age, health and home situation.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Agreements beforehand: </w:t>
      </w:r>
      <w:r>
        <w:rPr>
          <w:rFonts w:ascii="Arial" w:cs="Arial" w:eastAsia="Arial" w:hAnsi="Arial"/>
          <w:sz w:val="19"/>
          <w:szCs w:val="19"/>
        </w:rPr>
        <w:t xml:space="preserve">do not use real names of colleagues or managers from internships or work.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only name parties from the text. Challenge them to also name parties that are not mentioned.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judge the app as good or bad. This method is about seeing, not judging.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box “silent or absent” stays empty. Give an example: drivers with a private problem they do not want to share.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POSSIBLE PARTIES ON THE MAP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6"/>
      </w:tblGrid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Ring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Examples from the case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4F6C"/>
                <w:sz w:val="17"/>
                <w:szCs w:val="17"/>
              </w:rPr>
              <w:t xml:space="preserve">Directly involved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Drivers, planners, team leaders, management, HR.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4F6C"/>
                <w:sz w:val="17"/>
                <w:szCs w:val="17"/>
              </w:rPr>
              <w:t xml:space="preserve">Indirectly involved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Employee council, occupational physician, app supplier, passengers affected by cancellations.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4F6C"/>
                <w:sz w:val="17"/>
                <w:szCs w:val="17"/>
              </w:rPr>
              <w:t xml:space="preserve">Silent or absent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Drivers’ families, future applicants, drivers with a private problem they dare not share.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Longer (45 min): </w:t>
      </w:r>
      <w:r>
        <w:rPr>
          <w:rFonts w:ascii="Arial" w:cs="Arial" w:eastAsia="Arial" w:hAnsi="Arial"/>
          <w:sz w:val="19"/>
          <w:szCs w:val="19"/>
        </w:rPr>
        <w:t xml:space="preserve">let groups present their maps to each other and add parties.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draw the rings on a shared whiteboard.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make one map on a flip chart to which all groups add parties.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Freeman, R. E. (1984). Strategic management: A stakeholder approach. Pitman.</w:t>
      </w:r>
    </w:p>
    <w:p>
      <w:pPr/>
      <w:r/>
      <w:r>
        <w:rPr>
          <w:i/>
        </w:rPr>
        <w:t>Meijer, K. (2023). Impossible and inevitable: Reconstructing the critique of business ethics [Doctoral dissertation,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stakeholder map (Freeman, 1984).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MW14 Who is affected by the absence app? (Higher education HRM, EN, teacher version)</dc:title>
  <dc:creator>Moreel Vakmanschap</dc:creator>
  <cp:lastModifiedBy>Moral Craftsmanship</cp:lastModifiedBy>
  <cp:revision>1</cp:revision>
  <dcterms:created xsi:type="dcterms:W3CDTF">2026-09-29T09:46:30.873Z</dcterms:created>
  <dcterms:modified xsi:type="dcterms:W3CDTF">2026-09-29T09:46:30.873Z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