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4B942" w:sz="24"/>
              <w:right w:val="none" w:color="FFFFFF" w:sz="0"/>
            </w:tcBorders>
            <w:shd w:fill="234E3D"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MW16</w:t>
            </w:r>
          </w:p>
          <w:p>
            <w:pPr>
              <w:spacing w:after="40" w:line="250"/>
            </w:pPr>
            <w:r>
              <w:rPr>
                <w:rFonts w:ascii="Arial" w:cs="Arial" w:eastAsia="Arial" w:hAnsi="Arial"/>
                <w:b/>
                <w:bCs/>
                <w:color w:val="FFFFFF"/>
                <w:sz w:val="34"/>
                <w:szCs w:val="34"/>
              </w:rPr>
              <w:t xml:space="preserve">Tien seconden</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F4B942"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eigen standpunt over wat juist is verwoorden in een spanningsvolle situatie. (Handelen)</w:t>
      </w:r>
    </w:p>
    <w:p>
      <w:pPr>
        <w:pStyle w:val="ListParagraph"/>
        <w:numPr>
          <w:ilvl w:val="0"/>
          <w:numId w:val="2"/>
        </w:numPr>
        <w:spacing w:after="40" w:line="260"/>
      </w:pPr>
      <w:r>
        <w:rPr>
          <w:rFonts w:ascii="Arial" w:cs="Arial" w:eastAsia="Arial" w:hAnsi="Arial"/>
          <w:sz w:val="19"/>
          <w:szCs w:val="19"/>
        </w:rPr>
        <w:t xml:space="preserve">De student kan tegenargumenten en rationalisaties herkennen en beantwoorden. (Handelen)</w:t>
      </w:r>
    </w:p>
    <w:p>
      <w:pPr>
        <w:pStyle w:val="ListParagraph"/>
        <w:numPr>
          <w:ilvl w:val="0"/>
          <w:numId w:val="2"/>
        </w:numPr>
        <w:spacing w:after="40" w:line="260"/>
      </w:pPr>
      <w:r>
        <w:rPr>
          <w:rFonts w:ascii="Arial" w:cs="Arial" w:eastAsia="Arial" w:hAnsi="Arial"/>
          <w:sz w:val="19"/>
          <w:szCs w:val="19"/>
        </w:rPr>
        <w:t xml:space="preserve">De student kan bondgenoten en hulpbronnen benoemen om onder druk vol te houden.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MESO?</w:t>
      </w:r>
    </w:p>
    <w:p>
      <w:pPr>
        <w:spacing w:after="50" w:line="264"/>
      </w:pPr>
      <w:r>
        <w:rPr>
          <w:rFonts w:ascii="Arial" w:cs="Arial" w:eastAsia="Arial" w:hAnsi="Arial"/>
          <w:i/>
          <w:iCs/>
          <w:sz w:val="19"/>
          <w:szCs w:val="19"/>
        </w:rPr>
        <w:t xml:space="preserve">Meso: de recruiter weegt haar eigen oordeel af tegen de cultuur van het team, de rol van haar leidinggevende en de verwachtingen van collega’s.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de cultuur en regels van het team en de organisatie. Dat is Meso.</w:t>
      </w:r>
    </w:p>
    <w:p>
      <w:pPr>
        <w:pStyle w:val="ListParagraph"/>
        <w:numPr>
          <w:ilvl w:val="0"/>
          <w:numId w:val="2"/>
        </w:numPr>
        <w:spacing w:after="40" w:line="260"/>
      </w:pPr>
      <w:r>
        <w:rPr>
          <w:rFonts w:ascii="Arial" w:cs="Arial" w:eastAsia="Arial" w:hAnsi="Arial"/>
          <w:b/>
          <w:bCs/>
          <w:sz w:val="19"/>
          <w:szCs w:val="19"/>
        </w:rPr>
        <w:t xml:space="preserve">Niet Micro: </w:t>
      </w:r>
      <w:r>
        <w:rPr>
          <w:rFonts w:ascii="Arial" w:cs="Arial" w:eastAsia="Arial" w:hAnsi="Arial"/>
          <w:sz w:val="19"/>
          <w:szCs w:val="19"/>
        </w:rPr>
        <w:t xml:space="preserve">de cultuur van het team en de machtsrol van de leidinggevende spelen een wezenlijke rol (beslisregel 2).</w:t>
      </w:r>
    </w:p>
    <w:p>
      <w:pPr>
        <w:pStyle w:val="ListParagraph"/>
        <w:numPr>
          <w:ilvl w:val="0"/>
          <w:numId w:val="2"/>
        </w:numPr>
        <w:spacing w:after="40" w:line="260"/>
      </w:pPr>
      <w:r>
        <w:rPr>
          <w:rFonts w:ascii="Arial" w:cs="Arial" w:eastAsia="Arial" w:hAnsi="Arial"/>
          <w:b/>
          <w:bCs/>
          <w:sz w:val="19"/>
          <w:szCs w:val="19"/>
        </w:rPr>
        <w:t xml:space="preserve">Niet Macro: </w:t>
      </w:r>
      <w:r>
        <w:rPr>
          <w:rFonts w:ascii="Arial" w:cs="Arial" w:eastAsia="Arial" w:hAnsi="Arial"/>
          <w:sz w:val="19"/>
          <w:szCs w:val="19"/>
        </w:rPr>
        <w:t xml:space="preserve">de wet tegen leeftijdsdiscriminatie speelt op de achtergrond mee, maar de kern is hoe Lotte in het team reageert (beslisregel 3).</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Groepjes van 2–5; oefenen in tweetallen. Neem 60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de vraag is niet óf Lotte iets zegt, maar hoe. Ga uit van wat zij al weet dat juist is. Loop rond tijdens het oefenen en geef feedback op de eerste zin.</w:t>
      </w:r>
    </w:p>
    <w:p>
      <w:pPr>
        <w:pStyle w:val="ListParagraph"/>
        <w:numPr>
          <w:ilvl w:val="0"/>
          <w:numId w:val="2"/>
        </w:numPr>
        <w:spacing w:after="40" w:line="260"/>
      </w:pPr>
      <w:r>
        <w:rPr>
          <w:rFonts w:ascii="Arial" w:cs="Arial" w:eastAsia="Arial" w:hAnsi="Arial"/>
          <w:b/>
          <w:bCs/>
          <w:sz w:val="19"/>
          <w:szCs w:val="19"/>
        </w:rPr>
        <w:t xml:space="preserve">Afspraken vooraf: </w:t>
      </w:r>
      <w:r>
        <w:rPr>
          <w:rFonts w:ascii="Arial" w:cs="Arial" w:eastAsia="Arial" w:hAnsi="Arial"/>
          <w:sz w:val="19"/>
          <w:szCs w:val="19"/>
        </w:rPr>
        <w:t xml:space="preserve">rollenspel is vrijwillig en fictief. Wie Sander speelt, blijft respectvol.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vragen of Lotte wel iets móét zeggen. Herinner aan het uitgangspunt: ze weet wat juist is; het gaat om het hoe.</w:t>
      </w:r>
    </w:p>
    <w:p>
      <w:pPr>
        <w:pStyle w:val="ListParagraph"/>
        <w:numPr>
          <w:ilvl w:val="0"/>
          <w:numId w:val="2"/>
        </w:numPr>
        <w:spacing w:after="40" w:line="260"/>
      </w:pPr>
      <w:r>
        <w:rPr>
          <w:rFonts w:ascii="Arial" w:cs="Arial" w:eastAsia="Arial" w:hAnsi="Arial"/>
          <w:sz w:val="19"/>
          <w:szCs w:val="19"/>
        </w:rPr>
        <w:t xml:space="preserve">Het script wordt een preek. Vraag om een korte, concrete, respectvolle zin.</w:t>
      </w:r>
    </w:p>
    <w:p>
      <w:pPr>
        <w:pStyle w:val="ListParagraph"/>
        <w:numPr>
          <w:ilvl w:val="0"/>
          <w:numId w:val="2"/>
        </w:numPr>
        <w:spacing w:after="40" w:line="260"/>
      </w:pPr>
      <w:r>
        <w:rPr>
          <w:rFonts w:ascii="Arial" w:cs="Arial" w:eastAsia="Arial" w:hAnsi="Arial"/>
          <w:sz w:val="19"/>
          <w:szCs w:val="19"/>
        </w:rPr>
        <w:t xml:space="preserve">Studenten spelen Sander als schurk. Vraag hem te spelen zoals hij zichzelf ziet.</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VOORBEELDEN VAN TEGENARGUMENTEN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c>
          <w:tcPr>
            <w:tcW w:type="dxa" w:w="3300"/>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Argument</w:t>
            </w:r>
          </w:p>
        </w:tc>
        <w:tc>
          <w:tcPr>
            <w:tcW w:type="dxa" w:w="6606"/>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Mogelijke richting van het antwoord</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“Zo doen wij het al jaren.”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Verwijs naar de regels van het bureau en het risico voor het bureau.</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“Klanten vragen erom.”</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Vraag of een klantwens een reden is om mensen uit te sluiten.</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“Het is maar een opmerking.”</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Benoem dat een opmerking in het overleg ook onze werkwijze bepaalt.</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“Wil je dit nu echt groot maken?”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Houd het klein en concreet; bied aan het na het overleg te bespreken.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(45 min): </w:t>
      </w:r>
      <w:r>
        <w:rPr>
          <w:rFonts w:ascii="Arial" w:cs="Arial" w:eastAsia="Arial" w:hAnsi="Arial"/>
          <w:sz w:val="19"/>
          <w:szCs w:val="19"/>
        </w:rPr>
        <w:t xml:space="preserve">sla stap 2 over en start bij de tegenargumenten.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oefen in breakout rooms met camera aan.</w:t>
      </w:r>
    </w:p>
    <w:p>
      <w:pPr>
        <w:pStyle w:val="ListParagraph"/>
        <w:numPr>
          <w:ilvl w:val="0"/>
          <w:numId w:val="2"/>
        </w:numPr>
        <w:spacing w:after="40" w:line="260"/>
      </w:pPr>
      <w:r>
        <w:rPr>
          <w:rFonts w:ascii="Arial" w:cs="Arial" w:eastAsia="Arial" w:hAnsi="Arial"/>
          <w:b/>
          <w:bCs/>
          <w:sz w:val="19"/>
          <w:szCs w:val="19"/>
        </w:rPr>
        <w:t xml:space="preserve">Grote groep: </w:t>
      </w:r>
      <w:r>
        <w:rPr>
          <w:rFonts w:ascii="Arial" w:cs="Arial" w:eastAsia="Arial" w:hAnsi="Arial"/>
          <w:sz w:val="19"/>
          <w:szCs w:val="19"/>
        </w:rPr>
        <w:t xml:space="preserve">laat één tweetal het gesprek voor de klas spelen en analyseer met de klas.</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Gentile, M. C. (2010). Giving voice to values: How to speak your mind when you know what’s right. Yale University Press.</w:t>
      </w:r>
    </w:p>
    <w:p>
      <w:pPr/>
      <w:r/>
      <w:r>
        <w:rPr>
          <w:i/>
        </w:rPr>
        <w:t>Meijer, K. (2023). Impossible and inevitable: Reconstructing the critique of business ethics [Proefschrift, Tilburg University]. Ridderprint BV.</w:t>
      </w:r>
    </w:p>
    <w:p>
      <w:pPr>
        <w:spacing w:after="0" w:before="40"/>
      </w:pPr>
      <w:r>
        <w:rPr>
          <w:rFonts w:ascii="Arial" w:cs="Arial" w:eastAsia="Arial" w:hAnsi="Arial"/>
          <w:i/>
          <w:iCs/>
          <w:color w:val="5F5E5A"/>
          <w:sz w:val="15"/>
          <w:szCs w:val="15"/>
        </w:rPr>
        <w:t xml:space="preserve">Complexiteit bepaald met de driedeling micro – meso – macro. De driedeling micro – meso – macro is een werkdefinitie van het Lectoraat Ethisch Werken (Fontys), geïnspireerd op het werk van Kim Meijer (2023).</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waarden uitspreken en oefenen (Gentile, 2010).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MW16 Docentenversie – Tien seconden</dc:title>
  <dc:creator>Moreel Vakmanschap</dc:creator>
  <cp:lastModifiedBy>Un-named</cp:lastModifiedBy>
  <cp:revision>1</cp:revision>
  <dcterms:created xsi:type="dcterms:W3CDTF">2026-09-29T09:58:37.741Z</dcterms:created>
  <dcterms:modified xsi:type="dcterms:W3CDTF">2026-09-29T09:58:37.741Z</dcterms:modified>
</cp:coreProperties>
</file>

<file path=docProps/custom.xml><?xml version="1.0" encoding="utf-8"?>
<Properties xmlns="http://schemas.openxmlformats.org/officeDocument/2006/custom-properties" xmlns:vt="http://schemas.openxmlformats.org/officeDocument/2006/docPropsVTypes"/>
</file>