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5DADE2" w:sz="24"/>
              <w:right w:val="none" w:color="FFFFFF" w:sz="0"/>
            </w:tcBorders>
            <w:shd w:fill="1B4F72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MW25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Werken zonder vergunning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5DADE2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MACRO ★★★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gesprek over een systemisch dilemma voeren en observeren.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waarden en argumenten van anderen herkennen en onderscheiden.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benoemen welke rol wet en beleid spelen in een HR-keuze.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MACRO?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Macro: de spanning zit op het niveau van wet en beleid rond werk en asiel en een arbeidsmarkt met tekorten. Geen bedrijf of HR-adviseur kan dat alleen oplossen.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regels over werken tijdens een asielprocedure en de manier waarop tekorten worden opgelost. Dat is Macro.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Meso: </w:t>
      </w:r>
      <w:r>
        <w:rPr>
          <w:rFonts w:ascii="Arial" w:cs="Arial" w:eastAsia="Arial" w:hAnsi="Arial"/>
          <w:sz w:val="19"/>
          <w:szCs w:val="19"/>
        </w:rPr>
        <w:t xml:space="preserve">de vraag is niet alleen hoe dit bedrijf werft, maar of de regels zelf kloppen (beslisregel 3).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Let op: </w:t>
      </w:r>
      <w:r>
        <w:rPr>
          <w:rFonts w:ascii="Arial" w:cs="Arial" w:eastAsia="Arial" w:hAnsi="Arial"/>
          <w:sz w:val="19"/>
          <w:szCs w:val="19"/>
        </w:rPr>
        <w:t xml:space="preserve">de casus is fictief en niet bedoeld als juridisch advies. Controleer de actuele regels voordat je details noemt.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stoelen in twee kringen (binnen 5–8 stoelen, buiten de rest), observatieblad, timer. Groepen van 12–40. Neem 30–45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wees geen deelnemer. Zorg dat elke student een keer in de binnenkring zit en vraag door op waarden, niet op meningen.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vissenkom is een algemeen didactisch repertoire zonder eigenaar. Er is geen literatuurbron.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discussie gaat over asiel in het algemeen. Houd het bij Mo en de casus.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buitenkring wordt passief. Geef elke student een eigen observatiepunt.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noemen “de wet” als eindpunt. Vraag: “Wie kan die regel veranderen, en hoe?”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OBSERVATIEVRAGEN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B4F7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Vraag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B4F7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Doel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ED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Wie zei het meest, wie het minst?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Bewustzijn van spreekruimte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ED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Welke waarde werd niet genoemd?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Blinde vlekken zien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ED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Welk argument was een gevoel, welk een feit?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Onderscheid tussen voelen en wegen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ED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Wat veranderde na de wissel?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Effect van een ander perspectief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(30 min): </w:t>
      </w:r>
      <w:r>
        <w:rPr>
          <w:rFonts w:ascii="Arial" w:cs="Arial" w:eastAsia="Arial" w:hAnsi="Arial"/>
          <w:sz w:val="19"/>
          <w:szCs w:val="19"/>
        </w:rPr>
        <w:t xml:space="preserve">doe één ronde en één plenaire terugkoppeling.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camera aan/uit of een gedeelde lijst om binnen- en buitenkring te tonen.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organiseer twee vissenkommen naast elkaar met dezelfde casus.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/>
      <w:r/>
      <w:r>
        <w:rPr>
          <w:i/>
        </w:rPr>
        <w:t>Meijer, K. (2023). Impossible and inevitable: Reconstructing the critique of business ethics [Proefschrift, Tilburg University]. Ridderprint BV.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Werkvorm: vissenkom (algemeen didactisch repertoire; geen eigenaar).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MW25 Docentenversie – Werken zonder vergunning</dc:title>
  <dc:creator>Moreel Vakmanschap</dc:creator>
  <cp:lastModifiedBy>Un-named</cp:lastModifiedBy>
  <cp:revision>1</cp:revision>
  <dcterms:created xsi:type="dcterms:W3CDTF">2026-09-30T10:47:28.485Z</dcterms:created>
  <dcterms:modified xsi:type="dcterms:W3CDTF">2026-09-30T10:47:28.485Z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