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07A5F" w:sz="24"/>
              <w:right w:val="none" w:color="FFFFFF" w:sz="0"/>
            </w:tcBorders>
            <w:shd w:fill="3D405B"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MW28</w:t>
            </w:r>
          </w:p>
          <w:p>
            <w:pPr>
              <w:spacing w:after="40" w:line="250"/>
            </w:pPr>
            <w:r>
              <w:rPr>
                <w:rFonts w:ascii="Arial" w:cs="Arial" w:eastAsia="Arial" w:hAnsi="Arial"/>
                <w:b/>
                <w:bCs/>
                <w:color w:val="FFFFFF"/>
                <w:sz w:val="34"/>
                <w:szCs w:val="34"/>
              </w:rPr>
              <w:t xml:space="preserve">De grap die niemand tegensprak</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E07A5F"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MICRO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moreel schurend moment feitelijk beschrijven. (Zien)</w:t>
      </w:r>
    </w:p>
    <w:p>
      <w:pPr>
        <w:pStyle w:val="ListParagraph"/>
        <w:numPr>
          <w:ilvl w:val="0"/>
          <w:numId w:val="2"/>
        </w:numPr>
        <w:spacing w:after="40" w:line="260"/>
      </w:pPr>
      <w:r>
        <w:rPr>
          <w:rFonts w:ascii="Arial" w:cs="Arial" w:eastAsia="Arial" w:hAnsi="Arial"/>
          <w:sz w:val="19"/>
          <w:szCs w:val="19"/>
        </w:rPr>
        <w:t xml:space="preserve">De student kan het eigen gevoel bij dat moment benoemen als signaal. (Voelen)</w:t>
      </w:r>
    </w:p>
    <w:p>
      <w:pPr>
        <w:pStyle w:val="ListParagraph"/>
        <w:numPr>
          <w:ilvl w:val="0"/>
          <w:numId w:val="2"/>
        </w:numPr>
        <w:spacing w:after="40" w:line="260"/>
      </w:pPr>
      <w:r>
        <w:rPr>
          <w:rFonts w:ascii="Arial" w:cs="Arial" w:eastAsia="Arial" w:hAnsi="Arial"/>
          <w:sz w:val="19"/>
          <w:szCs w:val="19"/>
        </w:rPr>
        <w:t xml:space="preserve">De student kan formuleren wat hij de volgende keer anders doet en wat hij daarvoor nodig heeft. (Handelen,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MICRO?</w:t>
      </w:r>
    </w:p>
    <w:p>
      <w:pPr>
        <w:spacing w:after="50" w:line="264"/>
      </w:pPr>
      <w:r>
        <w:rPr>
          <w:rFonts w:ascii="Arial" w:cs="Arial" w:eastAsia="Arial" w:hAnsi="Arial"/>
          <w:i/>
          <w:iCs/>
          <w:sz w:val="19"/>
          <w:szCs w:val="19"/>
        </w:rPr>
        <w:t xml:space="preserve">Micro: Milan kiest zelf hoe hij zich verhoudt tot Kamil en tot een collega, en de gevolgen blijven binnen die relaties.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Milans eigen keuze. Dat is Micro.</w:t>
      </w:r>
    </w:p>
    <w:p>
      <w:pPr>
        <w:pStyle w:val="ListParagraph"/>
        <w:numPr>
          <w:ilvl w:val="0"/>
          <w:numId w:val="2"/>
        </w:numPr>
        <w:spacing w:after="40" w:line="260"/>
      </w:pPr>
      <w:r>
        <w:rPr>
          <w:rFonts w:ascii="Arial" w:cs="Arial" w:eastAsia="Arial" w:hAnsi="Arial"/>
          <w:b/>
          <w:bCs/>
          <w:sz w:val="19"/>
          <w:szCs w:val="19"/>
        </w:rPr>
        <w:t xml:space="preserve">Let op: </w:t>
      </w:r>
      <w:r>
        <w:rPr>
          <w:rFonts w:ascii="Arial" w:cs="Arial" w:eastAsia="Arial" w:hAnsi="Arial"/>
          <w:sz w:val="19"/>
          <w:szCs w:val="19"/>
        </w:rPr>
        <w:t xml:space="preserve">het voorbeeld is Micro, maar het eigen incident van een student kan ook Meso zijn (bijvoorbeeld een cultuur waarin zulke grappen normaal zijn). Bepaal dat niveau samen met de student met de beslisregels.</w:t>
      </w:r>
    </w:p>
    <w:p>
      <w:pPr>
        <w:pStyle w:val="ListParagraph"/>
        <w:numPr>
          <w:ilvl w:val="0"/>
          <w:numId w:val="2"/>
        </w:numPr>
        <w:spacing w:after="40" w:line="260"/>
      </w:pPr>
      <w:r>
        <w:rPr>
          <w:rFonts w:ascii="Arial" w:cs="Arial" w:eastAsia="Arial" w:hAnsi="Arial"/>
          <w:b/>
          <w:bCs/>
          <w:sz w:val="19"/>
          <w:szCs w:val="19"/>
        </w:rPr>
        <w:t xml:space="preserve">Twijfel: </w:t>
      </w:r>
      <w:r>
        <w:rPr>
          <w:rFonts w:ascii="Arial" w:cs="Arial" w:eastAsia="Arial" w:hAnsi="Arial"/>
          <w:sz w:val="19"/>
          <w:szCs w:val="19"/>
        </w:rPr>
        <w:t xml:space="preserve">kies het laagste niveau dat de kernspanning dekt (beslisregel 4).</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Individueel werk, daarna eventueel een tweetal. Neem 30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geef ruimte voor stilte. Loop rond, maar lees niet mee zonder toestemming.</w:t>
      </w:r>
    </w:p>
    <w:p>
      <w:pPr>
        <w:pStyle w:val="ListParagraph"/>
        <w:numPr>
          <w:ilvl w:val="0"/>
          <w:numId w:val="2"/>
        </w:numPr>
        <w:spacing w:after="40" w:line="260"/>
      </w:pPr>
      <w:r>
        <w:rPr>
          <w:rFonts w:ascii="Arial" w:cs="Arial" w:eastAsia="Arial" w:hAnsi="Arial"/>
          <w:b/>
          <w:bCs/>
          <w:sz w:val="19"/>
          <w:szCs w:val="19"/>
        </w:rPr>
        <w:t xml:space="preserve">Portfolio: </w:t>
      </w:r>
      <w:r>
        <w:rPr>
          <w:rFonts w:ascii="Arial" w:cs="Arial" w:eastAsia="Arial" w:hAnsi="Arial"/>
          <w:sz w:val="19"/>
          <w:szCs w:val="19"/>
        </w:rPr>
        <w:t xml:space="preserve">het formulier is geschikt als basis voor een moreel dagboek of portfolio-onderdeel.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kiezen een groot of pijnlijk incident. Adviseer een klein, alledaags moment.</w:t>
      </w:r>
    </w:p>
    <w:p>
      <w:pPr>
        <w:pStyle w:val="ListParagraph"/>
        <w:numPr>
          <w:ilvl w:val="0"/>
          <w:numId w:val="2"/>
        </w:numPr>
        <w:spacing w:after="40" w:line="260"/>
      </w:pPr>
      <w:r>
        <w:rPr>
          <w:rFonts w:ascii="Arial" w:cs="Arial" w:eastAsia="Arial" w:hAnsi="Arial"/>
          <w:sz w:val="19"/>
          <w:szCs w:val="19"/>
        </w:rPr>
        <w:t xml:space="preserve">Studenten noemen namen of herkenbare details. Herinner aan anonimiseren.</w:t>
      </w:r>
    </w:p>
    <w:p>
      <w:pPr>
        <w:pStyle w:val="ListParagraph"/>
        <w:numPr>
          <w:ilvl w:val="0"/>
          <w:numId w:val="2"/>
        </w:numPr>
        <w:spacing w:after="40" w:line="260"/>
      </w:pPr>
      <w:r>
        <w:rPr>
          <w:rFonts w:ascii="Arial" w:cs="Arial" w:eastAsia="Arial" w:hAnsi="Arial"/>
          <w:sz w:val="19"/>
          <w:szCs w:val="19"/>
        </w:rPr>
        <w:t xml:space="preserve">Delen wordt afgedwongen. Houd het vrijwillig; het formulier hoeft nooit ingeleverd te worden.</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HOE HET FORMULIER AAN HET MODEL HANGT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Fase</w:t>
            </w:r>
          </w:p>
        </w:tc>
        <w:tc>
          <w:tcPr>
            <w:tcW w:type="dxa" w:w="7706"/>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Vraag op het formulier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Zien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gebeurde er, feitelijk en anoniem?</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 gevoel gaf een signaal, en waar merkte je dat?</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Wegen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Welke waarden botsten en wat woog zwaar?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Handelen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deed je, en wat doe je een volgende keer anders?</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Volhouden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heb je nodig om dat onder druk vol te houden?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(20 min): </w:t>
      </w:r>
      <w:r>
        <w:rPr>
          <w:rFonts w:ascii="Arial" w:cs="Arial" w:eastAsia="Arial" w:hAnsi="Arial"/>
          <w:sz w:val="19"/>
          <w:szCs w:val="19"/>
        </w:rPr>
        <w:t xml:space="preserve">laat studenten alleen Zien, Voelen en Handelen invullen.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laat studenten het formulier privé invullen; delen alleen in tweetallen.</w:t>
      </w:r>
    </w:p>
    <w:p>
      <w:pPr>
        <w:pStyle w:val="ListParagraph"/>
        <w:numPr>
          <w:ilvl w:val="0"/>
          <w:numId w:val="2"/>
        </w:numPr>
        <w:spacing w:after="40" w:line="260"/>
      </w:pPr>
      <w:r>
        <w:rPr>
          <w:rFonts w:ascii="Arial" w:cs="Arial" w:eastAsia="Arial" w:hAnsi="Arial"/>
          <w:b/>
          <w:bCs/>
          <w:sz w:val="19"/>
          <w:szCs w:val="19"/>
        </w:rPr>
        <w:t xml:space="preserve">Reeks: </w:t>
      </w:r>
      <w:r>
        <w:rPr>
          <w:rFonts w:ascii="Arial" w:cs="Arial" w:eastAsia="Arial" w:hAnsi="Arial"/>
          <w:sz w:val="19"/>
          <w:szCs w:val="19"/>
        </w:rPr>
        <w:t xml:space="preserve">laat studenten in de loop van het jaar meerdere incidenten verzamelen.</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Flanagan, J. C. (1954). The critical incident technique. Psychological Bulletin, 51(4), 327–358. https://doi.org/10.1037/h0061470</w:t>
      </w:r>
    </w:p>
    <w:p>
      <w:pPr/>
      <w:r/>
      <w:r>
        <w:rPr>
          <w:i/>
        </w:rPr>
        <w:t>Meijer, K. (2023). Impossible and inevitable: Reconstructing the critique of business ethics [Proefschrift, Tilburg University]. Ridderprint BV.</w:t>
      </w:r>
    </w:p>
    <w:p>
      <w:pPr>
        <w:spacing w:after="0" w:before="40"/>
      </w:pPr>
      <w:r>
        <w:rPr>
          <w:rFonts w:ascii="Arial" w:cs="Arial" w:eastAsia="Arial" w:hAnsi="Arial"/>
          <w:i/>
          <w:iCs/>
          <w:color w:val="5F5E5A"/>
          <w:sz w:val="15"/>
          <w:szCs w:val="15"/>
        </w:rPr>
        <w:t xml:space="preserve">Complexiteit bepaald met de driedeling micro – meso – macro. De driedeling micro – meso – macro is een werkdefinitie van het Lectoraat Ethisch Werken (Fontys), geïnspireerd op het werk van Kim Meijer (2023).</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kritisch-incidentbeschrijving (Flanagan, 1954).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MW28 Docentenversie – De grap die niemand tegensprak</dc:title>
  <dc:creator>Moreel Vakmanschap</dc:creator>
  <cp:lastModifiedBy>Un-named</cp:lastModifiedBy>
  <cp:revision>1</cp:revision>
  <dcterms:created xsi:type="dcterms:W3CDTF">2026-09-29T09:46:30.909Z</dcterms:created>
  <dcterms:modified xsi:type="dcterms:W3CDTF">2026-09-29T09:46:30.909Z</dcterms:modified>
</cp:coreProperties>
</file>

<file path=docProps/custom.xml><?xml version="1.0" encoding="utf-8"?>
<Properties xmlns="http://schemas.openxmlformats.org/officeDocument/2006/custom-properties" xmlns:vt="http://schemas.openxmlformats.org/officeDocument/2006/docPropsVTypes"/>
</file>