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0B6E4F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MW31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De chatbot bij het personeelsloket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F3C969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AI-toepassing in HR in kaart brengen op betrokkenen, fouten en grenzen. (Zien)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advies onderbouwen vanuit minstens twee ethische perspectieven.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onderscheid maken tussen taken voor een AI en taken die bij een mens blijven.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efficiëntie af tegen zorg voor medewerkers, binnen de regels en cultuur van een gemeentelijke organisatie.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de organisatie de chatbot inzet en begeleidt.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medewerkers, HR, secretaris en gemeentelijke regels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Europese regelgeving voor AI speelt op de achtergrond, maar is niet de kern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Groepjes van 3–6. Neem 75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laat de studenten zelf de grens bepalen tussen wat een AI mag beantwoorden en wat doorverwezen wordt. Vraag naar de medewerker die afhaakt.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Bron: </w:t>
      </w:r>
      <w:r>
        <w:rPr>
          <w:rFonts w:ascii="Arial" w:cs="Arial" w:eastAsia="Arial" w:hAnsi="Arial"/>
          <w:sz w:val="19"/>
          <w:szCs w:val="19"/>
        </w:rPr>
        <w:t xml:space="preserve">vertaald en vereenvoudigd naar het AI Ethics Canvas; het werkblad is daarom ook onder CC BY-SA gepubliceerd.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oordelen “AI is goed” of “AI is slecht”. Vraag naar de situatie waarin het werkt en waarin niet.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vergeten mensen die niet digitaal vaardig zijn.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Het advies blijft een compromis zonder reden. Vraag: “Welke waarde kiezen jullie en welke offeren jullie op?”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GRENZEN OM OVER TE PRATEN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Onderwerp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0B6E4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Vraag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Ziekmelding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Mag een chatbot hier iets over zeggen? Wat als iemand over gezondheid begint?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Privézaken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Moet de chatbot doorverwijzen naar een vertrouwenspersoon?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Taal en toegankelijkheid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Hoe komt iemand met beperkte taalbeheersing toch bij een mens uit?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4F1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0B6E4F"/>
                <w:sz w:val="17"/>
                <w:szCs w:val="17"/>
              </w:rPr>
              <w:t xml:space="preserve">Fouten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Wie is aansprakelijk voor een onjuist antwoord over verlof?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(50 min): </w:t>
      </w:r>
      <w:r>
        <w:rPr>
          <w:rFonts w:ascii="Arial" w:cs="Arial" w:eastAsia="Arial" w:hAnsi="Arial"/>
          <w:sz w:val="19"/>
          <w:szCs w:val="19"/>
        </w:rPr>
        <w:t xml:space="preserve">werk met vak 1, 2, 4 en 6.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een gedeeld bord met acht vlakken.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elke groep twee vakken uitwerken en presenteer ze samen.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Goetze, T. S. (2021). AI ethics canvas [Guidebook, CC BY-SA 4.0]. https://www.trystangoetze.ca/aicanvas.html</w:t>
      </w:r>
    </w:p>
    <w:p>
      <w:pPr/>
      <w:r/>
      <w:r>
        <w:rPr>
          <w:i/>
        </w:rPr>
        <w:t>Meijer, K. (2023). Impossible and inevitable: Reconstructing the critique of business ethics [Proefschrift, Tilburg University]. Ridderprint BV.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Gebaseerd op AI Ethics Canvas – Trystan S. Goetze – CC BY-SA 4.0 – https://www.trystangoetze.ca/aicanvas.html (vertaald en vereenvoudigd).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MW31 Docentenversie – De chatbot bij het personeelsloket</dc:title>
  <dc:creator>Moreel Vakmanschap</dc:creator>
  <cp:lastModifiedBy>Un-named</cp:lastModifiedBy>
  <cp:revision>1</cp:revision>
  <dcterms:created xsi:type="dcterms:W3CDTF">2026-09-30T08:50:14.234Z</dcterms:created>
  <dcterms:modified xsi:type="dcterms:W3CDTF">2026-09-30T08:50:14.234Z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