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D4A373" w:sz="24"/>
              <w:right w:val="none" w:color="FFFFFF" w:sz="0"/>
            </w:tcBorders>
            <w:shd w:fill="3F5E5A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ASSIGNMENT MW01 — SOCRATIC DIALOGUE · HRM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What is loyalty?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Case: an HR trainee and his friend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D4A373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MICRO ★☆☆</w:t>
            </w:r>
          </w:p>
        </w:tc>
      </w:tr>
    </w:tbl>
    <w:p>
      <w:pPr>
        <w:spacing w:after="120" w:before="100"/>
      </w:pPr>
      <w:r>
        <w:rPr>
          <w:rFonts w:ascii="Arial" w:cs="Arial" w:eastAsia="Arial" w:hAnsi="Arial"/>
          <w:color w:val="5F5E5A"/>
          <w:sz w:val="17"/>
          <w:szCs w:val="17"/>
        </w:rPr>
        <w:t xml:space="preserve">Phase in the model: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2F7FC1" w:color="auto" w:val="clear"/>
        </w:rPr>
        <w:t xml:space="preserve"> SEEING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D4537E" w:color="auto" w:val="clear"/>
        </w:rPr>
        <w:t xml:space="preserve"> WEIGHING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color w:val="5F5E5A"/>
          <w:sz w:val="17"/>
          <w:szCs w:val="17"/>
        </w:rPr>
        <w:t xml:space="preserve">     Time: 90 min     Group: 5–12 students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D4A373" w:sz="6"/>
              <w:left w:val="single" w:color="D4A373" w:sz="6"/>
              <w:bottom w:val="single" w:color="D4A373" w:sz="6"/>
              <w:right w:val="single" w:color="D4A373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6238875" cy="3505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38875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THE SITUATION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single" w:color="993556" w:sz="36"/>
              <w:bottom w:val="none" w:color="FFFFFF" w:sz="0"/>
              <w:right w:val="none" w:color="FFFFFF" w:sz="0"/>
            </w:tcBorders>
            <w:shd w:fill="E7EEEC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spacing w:after="10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Milan (23) is an HR trainee. In a Socratic dialogue he describes something he experienced himself. His colleague and friend Ravi arrived three days late. He asked Milan to tell the team leader that he was “with a client”. Milan did.</w:t>
            </w:r>
          </w:p>
          <w:p>
            <w:pPr>
              <w:spacing w:after="10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“I felt loyal to Ravi,” Milan says. “But afterwards I don’t feel good about it. I don’t know whether I was loyal to Ravi or to myself.” The group falls silent. The facilitator says: “Let’s explore together what loyalty is, using this example.”</w:t>
            </w:r>
          </w:p>
          <w:p>
            <w:pPr>
              <w:spacing w:after="4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 core question: what is loyalty? It is not about who is right. It is about the group reaching a shared, well-founded insight together.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Fictional case. Any resemblance to real persons or organisations is coincidental.</w:t>
      </w:r>
    </w:p>
    <w:p>
      <w:pPr>
        <w:pageBreakBefore/>
        <w:spacing w:after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HOW TO WORK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Choose roles: a facilitator, a note-taker and the others. Milan tells his example once more.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(10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Ask Milan questions to understand the example: what happened, what did he think and feel? No judgements yet.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(15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Together, formulate one core statement about loyalty, in one sentence.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(20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Test the core statement against counterexamples. Adjust it if necessary.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(25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Look for the underlying principle. Why is that so? Formulate a shared insight.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(20 min)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STEPS 1 AND 2 — THE EXAMPLE</w:t>
      </w:r>
    </w:p>
    <w:p>
      <w:pPr>
        <w:spacing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exactly happened? (facts only)</w:t>
      </w:r>
    </w:p>
    <w:p>
      <w:pPr>
        <w:pBdr>
          <w:bottom w:val="single" w:color="C9CED4" w:sz="4" w:space="1"/>
        </w:pBdr>
        <w:spacing w:after="0" w:before="0" w:line="330" w:lineRule="exact"/>
        <w:ind w:right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30" w:lineRule="exact"/>
        <w:ind w:right="2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STEPS 3 AND 4 — THE CORE STATEMENT AND THE TEST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3300"/>
        <w:gridCol w:w="1806"/>
      </w:tblGrid>
      <w:tr>
        <w:trPr>
          <w:tblHeader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Core statement</w:t>
            </w:r>
          </w:p>
        </w:tc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Counterexample</w:t>
            </w:r>
          </w:p>
        </w:tc>
        <w:tc>
          <w:tcPr>
            <w:tcW w:type="dxa" w:w="18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Does it hold?</w:t>
            </w:r>
          </w:p>
        </w:tc>
      </w:tr>
      <w:tr>
        <w:trPr>
          <w:trHeight w:val="780" w:hRule="atLeast"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F5E5A"/>
                <w:sz w:val="19"/>
                <w:szCs w:val="19"/>
              </w:rPr>
              <w:t xml:space="preserve">Version 1</w:t>
            </w:r>
          </w:p>
        </w:tc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8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780" w:hRule="atLeast"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F5E5A"/>
                <w:sz w:val="19"/>
                <w:szCs w:val="19"/>
              </w:rPr>
              <w:t xml:space="preserve">Version 2</w:t>
            </w:r>
          </w:p>
        </w:tc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8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780" w:hRule="atLeast"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F5E5A"/>
                <w:sz w:val="19"/>
                <w:szCs w:val="19"/>
              </w:rPr>
              <w:t xml:space="preserve">Version 3</w:t>
            </w:r>
          </w:p>
        </w:tc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33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  <w:tc>
          <w:tcPr>
            <w:tcW w:type="dxa" w:w="18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STEP 5 — THE UNDERLYING PRINCIPLE</w:t>
      </w:r>
    </w:p>
    <w:p>
      <w:pPr>
        <w:spacing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Loyalty is … because … Our shared insight:</w:t>
      </w:r>
    </w:p>
    <w:p>
      <w:pPr>
        <w:pBdr>
          <w:bottom w:val="single" w:color="C9CED4" w:sz="4" w:space="1"/>
        </w:pBdr>
        <w:spacing w:after="0" w:before="0" w:line="330" w:lineRule="exact"/>
        <w:ind w:right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30" w:lineRule="exact"/>
        <w:ind w:right="2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30" w:lineRule="exact"/>
        <w:ind w:right="4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REFLECTION</w:t>
      </w:r>
    </w:p>
    <w:p>
      <w:pPr>
        <w:keepNext/>
        <w:spacing w:after="50" w:before="90" w:line="264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2F7FC1" w:color="auto" w:val="clear"/>
        </w:rPr>
        <w:t xml:space="preserve"> SEEING </w:t>
      </w:r>
      <w:r>
        <w:rPr>
          <w:rFonts w:ascii="Arial" w:cs="Arial" w:eastAsia="Arial" w:hAnsi="Arial"/>
          <w:sz w:val="20"/>
          <w:szCs w:val="20"/>
        </w:rPr>
        <w:t xml:space="preserve">  What did you see in Milan’s example that you had not seen at first?</w:t>
      </w:r>
    </w:p>
    <w:p>
      <w:pPr>
        <w:pBdr>
          <w:bottom w:val="single" w:color="C9CED4" w:sz="4" w:space="1"/>
        </w:pBdr>
        <w:spacing w:after="0" w:before="0" w:line="320" w:lineRule="exact"/>
        <w:ind w:right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20" w:lineRule="exact"/>
        <w:ind w:right="2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spacing w:after="50" w:before="90" w:line="264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D4537E" w:color="auto" w:val="clear"/>
        </w:rPr>
        <w:t xml:space="preserve"> WEIGHING </w:t>
      </w:r>
      <w:r>
        <w:rPr>
          <w:rFonts w:ascii="Arial" w:cs="Arial" w:eastAsia="Arial" w:hAnsi="Arial"/>
          <w:sz w:val="20"/>
          <w:szCs w:val="20"/>
        </w:rPr>
        <w:t xml:space="preserve">  Which counterexample changed your core statement the most? What does that say about loyalty?</w:t>
      </w:r>
    </w:p>
    <w:p>
      <w:pPr>
        <w:pBdr>
          <w:bottom w:val="single" w:color="C9CED4" w:sz="4" w:space="1"/>
        </w:pBdr>
        <w:spacing w:after="0" w:before="0" w:line="320" w:lineRule="exact"/>
        <w:ind w:right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20" w:lineRule="exact"/>
        <w:ind w:right="2"/>
      </w:pPr>
      <w:r>
        <w:rPr>
          <w:rFonts w:ascii="Arial" w:cs="Arial" w:eastAsia="Arial" w:hAnsi="Arial"/>
          <w:sz w:val="21"/>
          <w:szCs w:val="21"/>
        </w:rPr>
        <w:t xml:space="preserve"/>
      </w:r>
    </w:p>
    <w:sectPr>
      <w:headerReference w:type="default" r:id="rId7"/>
      <w:footerReference w:type="default" r:id="rId8"/>
      <w:headerReference w:type="first" r:id="rId11"/>
      <w:footerReference w:type="first" r:id="rId12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the Socratic dialogue (Heckmann, 1981; Kessels et al., 2002; worked out in our own words).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WORKSHEET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85f80122ec50be59f153b29e1c3b210b34d2eea.jpg"/><Relationship Id="rId10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MW01 What is loyalty? (Higher education HRM, EN, student version)</dc:title>
  <dc:creator>Moreel Vakmanschap</dc:creator>
  <cp:lastModifiedBy>Moral Craftsmanship</cp:lastModifiedBy>
  <cp:revision>1</cp:revision>
  <dcterms:created xsi:type="dcterms:W3CDTF">2026-09-30T10:35:03.151Z</dcterms:created>
  <dcterms:modified xsi:type="dcterms:W3CDTF">2026-09-30T10:35:03.151Z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