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3F5E5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MW01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What is loyalty?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use a concrete example to explore an abstract concept.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formulate a core statement and test it against counterexamples.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substantiate an underlying principle together with the group.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Milan decides for himself, and the tension lies between two personal values (loyalty to a friend and honesty).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Milan’s own choice. That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Meso: </w:t>
      </w:r>
      <w:r>
        <w:rPr>
          <w:rFonts w:ascii="Arial" w:cs="Arial" w:eastAsia="Arial" w:hAnsi="Arial"/>
          <w:sz w:val="19"/>
          <w:szCs w:val="19"/>
        </w:rPr>
        <w:t xml:space="preserve">no organisational rule or culture determines the choice; the team leader stays in the background (decision rule 4).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the Socratic dialogue requires an experienced facilitator. Without experience it remains an ordinary conversation.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flip chart or screen for the core statement. Groups of 5–12. Allow 90 minutes; the full format takes 90–180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make sure the facilitator only asks questions and gives no answers. Have the note-taker record the core statement word for word.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the five steps have been worked out in our own words after Heckmann (1981) and Kessels et al. (2002).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group immediately gives an opinion about Milan. Remind them: first understand, then explore.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core statement is too vague or too long. Ask for one sentence.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Counterexamples are unrealistic. Ask for examples from work or internships.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QUESTIONS THE FACILITATOR CAN ASK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F5E5A"/>
                <w:sz w:val="17"/>
                <w:szCs w:val="17"/>
              </w:rPr>
              <w:t xml:space="preserve">Understanding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“What exactly happened? What did you think and feel at that moment?”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F5E5A"/>
                <w:sz w:val="17"/>
                <w:szCs w:val="17"/>
              </w:rPr>
              <w:t xml:space="preserve">Core statement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“What is the core of what we see here? Can you say it in one sentence?”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F5E5A"/>
                <w:sz w:val="17"/>
                <w:szCs w:val="17"/>
              </w:rPr>
              <w:t xml:space="preserve">Testing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“Can you think of an example where this does not hold?”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F5E5A"/>
                <w:sz w:val="17"/>
                <w:szCs w:val="17"/>
              </w:rPr>
              <w:t xml:space="preserve">Principle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“Why is that so? What lies underneath?”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(60 min): </w:t>
      </w:r>
      <w:r>
        <w:rPr>
          <w:rFonts w:ascii="Arial" w:cs="Arial" w:eastAsia="Arial" w:hAnsi="Arial"/>
          <w:sz w:val="19"/>
          <w:szCs w:val="19"/>
        </w:rPr>
        <w:t xml:space="preserve">skip step 5 and close with the core statement.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shared document for the core statement.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groups of 6 work in parallel; one teacher facilitates each group.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Heckmann, G. (1981). Das sokratische Gespräch: Erfahrungen in philosophischen Hochschulseminaren [The Socratic dialogue: Experiences in philosophical university seminars]. Schroedel.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Kessels, J., Boers, E., &amp; Mostert, P. (2002). Vrije ruimte: Filosoferen in organisaties [Free space: Philosophising in organisations]. Boom.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the Socratic dialogue (Heckmann, 1981; Kessels et al., 2002; worked out in our own words).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MW01 What is loyalty? (Higher education HRM, EN, teacher version)</dc:title>
  <dc:creator>Moreel Vakmanschap</dc:creator>
  <cp:lastModifiedBy>Moral Craftsmanship</cp:lastModifiedBy>
  <cp:revision>1</cp:revision>
  <dcterms:created xsi:type="dcterms:W3CDTF">2026-09-30T10:35:03.309Z</dcterms:created>
  <dcterms:modified xsi:type="dcterms:W3CDTF">2026-09-30T10:35:03.309Z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