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2C044" w:sz="24"/>
              <w:right w:val="none" w:color="FFFFFF" w:sz="0"/>
            </w:tcBorders>
            <w:shd w:fill="7B6D1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MW05 — CULTURE CIRCLE · HRM</w:t>
            </w:r>
          </w:p>
          <w:p>
            <w:pPr>
              <w:spacing w:after="40" w:line="250"/>
            </w:pPr>
            <w:r>
              <w:rPr>
                <w:rFonts w:ascii="Arial" w:cs="Arial" w:eastAsia="Arial" w:hAnsi="Arial"/>
                <w:b/>
                <w:bCs/>
                <w:color w:val="FFFFFF"/>
                <w:sz w:val="34"/>
                <w:szCs w:val="34"/>
              </w:rPr>
              <w:t xml:space="preserve">The internship list</w:t>
            </w:r>
          </w:p>
          <w:p>
            <w:pPr>
              <w:spacing w:after="0"/>
            </w:pPr>
            <w:r>
              <w:rPr>
                <w:rFonts w:ascii="Arial" w:cs="Arial" w:eastAsia="Arial" w:hAnsi="Arial"/>
                <w:color w:val="DDE6F0"/>
                <w:sz w:val="19"/>
                <w:szCs w:val="19"/>
              </w:rPr>
              <w:t xml:space="preserve">Case: the HRM programme of a university of applied sciences</w:t>
            </w:r>
          </w:p>
        </w:tc>
        <w:tc>
          <w:tcPr>
            <w:tcW w:type="dxa" w:w="2606"/>
            <w:tcBorders>
              <w:top w:val="none" w:color="FFFFFF" w:sz="0"/>
              <w:left w:val="none" w:color="FFFFFF" w:sz="0"/>
              <w:bottom w:val="single" w:color="E2C044"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     Time: 60 min     Group: 8–20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2C044" w:sz="6"/>
              <w:left w:val="single" w:color="E2C044" w:sz="6"/>
              <w:bottom w:val="single" w:color="E2C044" w:sz="6"/>
              <w:right w:val="single" w:color="E2C044"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3F0DF"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Internship coordinator Naima sees the same thing every year. HRM students with the same grades and a similar CV are not invited equally often. At host companies, students with a name that sounds typical of the majority population turn out to get an interview more often than students with a different name. The companies say: “We only look at suitability.”</w:t>
            </w:r>
          </w:p>
          <w:p>
            <w:pPr>
              <w:spacing w:after="100" w:line="288"/>
            </w:pPr>
            <w:r>
              <w:rPr>
                <w:rFonts w:ascii="Arial" w:cs="Arial" w:eastAsia="Arial" w:hAnsi="Arial"/>
                <w:sz w:val="21"/>
                <w:szCs w:val="21"/>
              </w:rPr>
              <w:t xml:space="preserve">Naima discusses it with a group of students. Some know it from their own experience: an application letter that goes unanswered, an interview that is cancelled. Others had never noticed it. One student says: “Then I’ll just choose another company.” Another says: “I can’t keep doing that every year.”</w:t>
            </w:r>
          </w:p>
          <w:p>
            <w:pPr>
              <w:spacing w:after="40" w:line="288"/>
            </w:pPr>
            <w:r>
              <w:rPr>
                <w:rFonts w:ascii="Arial" w:cs="Arial" w:eastAsia="Arial" w:hAnsi="Arial"/>
                <w:sz w:val="21"/>
                <w:szCs w:val="21"/>
              </w:rPr>
              <w:t xml:space="preserve">The university cannot oblige host companies to choose differently. Naima asks her students to look at the image above and to explore together what is going on and who can do something about it.</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Look at the image on the first page and read the case.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Write down your own answers to the four questions. Do this on your own first.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Share your answers in a group of three or four. Listen first, then respond.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Together, look for three actions: at personal, organisational and system level.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Share one action with the whole group. Fill in your reflection. </w:t>
      </w:r>
      <w:r>
        <w:rPr>
          <w:rFonts w:ascii="Arial" w:cs="Arial" w:eastAsia="Arial" w:hAnsi="Arial"/>
          <w:i/>
          <w:iCs/>
          <w:color w:val="5F5E5A"/>
          <w:sz w:val="18"/>
          <w:szCs w:val="18"/>
        </w:rPr>
        <w:t xml:space="preserve">(15 min)</w:t>
      </w:r>
    </w:p>
    <w:p>
      <w:pPr>
        <w:keepNext/>
        <w:pBdr>
          <w:bottom w:val="single" w:color="5B2D8E" w:sz="8" w:space="2"/>
        </w:pBdr>
        <w:spacing w:after="90" w:before="200"/>
      </w:pPr>
      <w:r>
        <w:rPr>
          <w:rFonts w:ascii="Arial" w:cs="Arial" w:eastAsia="Arial" w:hAnsi="Arial"/>
          <w:b/>
          <w:bCs/>
          <w:color w:val="5B2D8E"/>
          <w:spacing w:val="30"/>
          <w:sz w:val="20"/>
          <w:szCs w:val="20"/>
        </w:rPr>
        <w:t xml:space="preserve">THE FOUR QUESTIONS ABOUT THE IMAGE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6906"/>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My answer</w:t>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1. Describe</w:t>
            </w:r>
          </w:p>
          <w:p>
            <w:pPr>
              <w:spacing w:after="0" w:line="220"/>
            </w:pPr>
            <w:r>
              <w:rPr>
                <w:rFonts w:ascii="Arial" w:cs="Arial" w:eastAsia="Arial" w:hAnsi="Arial"/>
                <w:i/>
                <w:iCs/>
                <w:color w:val="5F5E5A"/>
                <w:sz w:val="15"/>
                <w:szCs w:val="15"/>
              </w:rPr>
              <w:t xml:space="preserve">What do I see?</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2. Analyse</w:t>
            </w:r>
          </w:p>
          <w:p>
            <w:pPr>
              <w:spacing w:after="0" w:line="220"/>
            </w:pPr>
            <w:r>
              <w:rPr>
                <w:rFonts w:ascii="Arial" w:cs="Arial" w:eastAsia="Arial" w:hAnsi="Arial"/>
                <w:i/>
                <w:iCs/>
                <w:color w:val="5F5E5A"/>
                <w:sz w:val="15"/>
                <w:szCs w:val="15"/>
              </w:rPr>
              <w:t xml:space="preserve">Why is it like this?</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3. Connect</w:t>
            </w:r>
          </w:p>
          <w:p>
            <w:pPr>
              <w:spacing w:after="0" w:line="220"/>
            </w:pPr>
            <w:r>
              <w:rPr>
                <w:rFonts w:ascii="Arial" w:cs="Arial" w:eastAsia="Arial" w:hAnsi="Arial"/>
                <w:i/>
                <w:iCs/>
                <w:color w:val="5F5E5A"/>
                <w:sz w:val="15"/>
                <w:szCs w:val="15"/>
              </w:rPr>
              <w:t xml:space="preserve">Who benefits from this and who does not?</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4. Act</w:t>
            </w:r>
          </w:p>
          <w:p>
            <w:pPr>
              <w:spacing w:after="0" w:line="220"/>
            </w:pPr>
            <w:r>
              <w:rPr>
                <w:rFonts w:ascii="Arial" w:cs="Arial" w:eastAsia="Arial" w:hAnsi="Arial"/>
                <w:i/>
                <w:iCs/>
                <w:color w:val="5F5E5A"/>
                <w:sz w:val="15"/>
                <w:szCs w:val="15"/>
              </w:rPr>
              <w:t xml:space="preserve">What can we do about it?</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THREE LEVELS OF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806"/>
      </w:tblGrid>
      <w:tr>
        <w:trPr>
          <w:tblHeader/>
        </w:trPr>
        <w:tc>
          <w:tcPr>
            <w:tcW w:type="dxa" w:w="2200"/>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Level</w:t>
            </w:r>
          </w:p>
        </w:tc>
        <w:tc>
          <w:tcPr>
            <w:tcW w:type="dxa" w:w="4900"/>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Possible action</w:t>
            </w:r>
          </w:p>
        </w:tc>
        <w:tc>
          <w:tcPr>
            <w:tcW w:type="dxa" w:w="2806"/>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Who needs to take part?</w:t>
            </w:r>
          </w:p>
        </w:tc>
      </w:tr>
      <w:tr>
        <w:trPr>
          <w:trHeight w:val="700" w:hRule="atLeast"/>
        </w:trPr>
        <w:tc>
          <w:tcPr>
            <w:tcW w:type="dxa" w:w="22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Personal</w:t>
            </w:r>
          </w:p>
        </w:tc>
        <w:tc>
          <w:tcPr>
            <w:tcW w:type="dxa" w:w="4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22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Organisation</w:t>
            </w:r>
          </w:p>
        </w:tc>
        <w:tc>
          <w:tcPr>
            <w:tcW w:type="dxa" w:w="4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22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System (law, policy)</w:t>
            </w:r>
          </w:p>
        </w:tc>
        <w:tc>
          <w:tcPr>
            <w:tcW w:type="dxa" w:w="4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What did you see when looking at the image that you had not seen at first? Who showed you that?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of the three actions do you consider most feasible and which most fair? Support your answer with at least two perspectives.</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culture circle (Freire, 1970; worked out in our own words).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1ad50f85f88ccfc42c510414d8a7fc00feaaf6.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MW05 The internship list (Higher education HRM, EN, student version)</dc:title>
  <dc:creator>Moreel Vakmanschap</dc:creator>
  <cp:lastModifiedBy>Moral Craftsmanship</cp:lastModifiedBy>
  <cp:revision>1</cp:revision>
  <dcterms:created xsi:type="dcterms:W3CDTF">2026-09-30T09:24:22.476Z</dcterms:created>
  <dcterms:modified xsi:type="dcterms:W3CDTF">2026-09-30T09:24:22.486Z</dcterms:modified>
  <dc:language>en-GB</dc:language>
</cp:coreProperties>
</file>

<file path=docProps/custom.xml><?xml version="1.0" encoding="utf-8"?>
<Properties xmlns="http://schemas.openxmlformats.org/officeDocument/2006/custom-properties" xmlns:vt="http://schemas.openxmlformats.org/officeDocument/2006/docPropsVTypes"/>
</file>