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8B04B" w:sz="24"/>
              <w:right w:val="none" w:color="FFFFFF" w:sz="0"/>
            </w:tcBorders>
            <w:shd w:fill="9D4E3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Nurses from Ghana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8B04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approach a dilemma from the question of which choice strengthens the community and everyone’s dignity.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and substantiate red lines and bridges.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effect of HR choices on people outside the organisation.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the tension lies at the level of the global labour market for healthcare staff and international agreements, and no hospital or HR adviser can solve it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global distribution of healthcare staff and the agreements about it. That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question is not how one hospital designs its recruitment policy, but what is fair in a global market (decision rule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do not romanticise. Ubuntu is not a solution that makes dilemmas disappear. Connect the dialogue format with the philosophical source (Metz, 2011) and with other ethical perspectives.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timer; chairs in small circles. Allow 75 minutes; with 8–30 students, in circles of 3–4.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mention the origins of Ubuntu and indaba beforehand. Let students explain for themselves what “we” means and do not push a single meaning.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three rounds have been worked out in our own words, with respect for their origins. See Metz (2011).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Ubuntu is used as an attractive slogan. Ask: “What does this mean concretely for Kofi’s sister?”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between “recruit” and “don’t recruit”. Also ask about bridges: training, return, agreements with the source country.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discussion turns to Africa in general. Keep it to the case and the people involved.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BRIDGES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9D4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Bridge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9D4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Support training in Ghana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hospital invests in training places, so that the source country itself gains more nurses.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Temporary exchange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Nurses work in the host country for a period and return with knowledge and resources.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Recruit domestically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More focus on career changers, returners and better working conditions.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Agreements with the source country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Recruitment only in consultation with the government and healthcare organisations there.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(50 min): </w:t>
      </w:r>
      <w:r>
        <w:rPr>
          <w:rFonts w:ascii="Arial" w:cs="Arial" w:eastAsia="Arial" w:hAnsi="Arial"/>
          <w:sz w:val="19"/>
          <w:szCs w:val="19"/>
        </w:rPr>
        <w:t xml:space="preserve">skip round 3.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breakout rooms for the circles and a shared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circles of four work at the same time and share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Metz, T. (2011). Ubuntu as a moral theory and human rights in South Africa. African Human Rights Law Journal, 11(2), 532–559.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Ubuntu/indaba dialogue (Metz, 2011; southern African origins respectfully acknowledged).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MW07 Nurses from Ghana (Higher education HRM, EN, teacher version)</dc:title>
  <dc:creator>Moreel Vakmanschap</dc:creator>
  <cp:lastModifiedBy>Moral Craftsmanship</cp:lastModifiedBy>
  <cp:revision>1</cp:revision>
  <dcterms:created xsi:type="dcterms:W3CDTF">2026-09-30T10:35:02.825Z</dcterms:created>
  <dcterms:modified xsi:type="dcterms:W3CDTF">2026-09-30T10:35:02.825Z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