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7300"/>
        <w:gridCol w:w="2606"/>
      </w:tblGrid>
      <w:tr>
        <w:tc>
          <w:tcPr>
            <w:tcW w:type="dxa" w:w="7300"/>
            <w:tcBorders>
              <w:top w:val="none" w:color="FFFFFF" w:sz="0"/>
              <w:left w:val="none" w:color="FFFFFF" w:sz="0"/>
              <w:bottom w:val="single" w:color="F6BD60" w:sz="24"/>
              <w:right w:val="none" w:color="FFFFFF" w:sz="0"/>
            </w:tcBorders>
            <w:shd w:fill="354F52" w:color="auto" w:val="clear"/>
            <w:tcMar>
              <w:top w:type="dxa" w:w="140"/>
              <w:left w:type="dxa" w:w="220"/>
              <w:bottom w:type="dxa" w:w="140"/>
              <w:right w:type="dxa" w:w="120"/>
            </w:tcMar>
          </w:tcPr>
          <w:p>
            <w:pPr>
              <w:spacing w:after="40"/>
            </w:pPr>
            <w:r>
              <w:rPr>
                <w:rFonts w:ascii="Arial" w:cs="Arial" w:eastAsia="Arial" w:hAnsi="Arial"/>
                <w:b/>
                <w:bCs/>
                <w:color w:val="F3C98B"/>
                <w:spacing w:val="30"/>
                <w:sz w:val="16"/>
                <w:szCs w:val="16"/>
              </w:rPr>
              <w:t xml:space="preserve">ASSIGNMENT MW10 — ETHICAL MATRIX · HRM</w:t>
            </w:r>
          </w:p>
          <w:p>
            <w:pPr>
              <w:spacing w:after="40" w:line="250"/>
            </w:pPr>
            <w:r>
              <w:rPr>
                <w:rFonts w:ascii="Arial" w:cs="Arial" w:eastAsia="Arial" w:hAnsi="Arial"/>
                <w:b/>
                <w:bCs/>
                <w:color w:val="FFFFFF"/>
                <w:sz w:val="34"/>
                <w:szCs w:val="34"/>
              </w:rPr>
              <w:t xml:space="preserve">The right to be offline</w:t>
            </w:r>
          </w:p>
          <w:p>
            <w:pPr>
              <w:spacing w:after="0"/>
            </w:pPr>
            <w:r>
              <w:rPr>
                <w:rFonts w:ascii="Arial" w:cs="Arial" w:eastAsia="Arial" w:hAnsi="Arial"/>
                <w:color w:val="DDE6F0"/>
                <w:sz w:val="19"/>
                <w:szCs w:val="19"/>
              </w:rPr>
              <w:t xml:space="preserve">Case: an employers’ association</w:t>
            </w:r>
          </w:p>
        </w:tc>
        <w:tc>
          <w:tcPr>
            <w:tcW w:type="dxa" w:w="2606"/>
            <w:tcBorders>
              <w:top w:val="none" w:color="FFFFFF" w:sz="0"/>
              <w:left w:val="none" w:color="FFFFFF" w:sz="0"/>
              <w:bottom w:val="single" w:color="F6BD60" w:sz="24"/>
              <w:right w:val="none" w:color="FFFFFF" w:sz="0"/>
            </w:tcBorders>
            <w:shd w:fill="993556" w:color="auto" w:val="clear"/>
            <w:tcMar>
              <w:top w:type="dxa" w:w="100"/>
              <w:left w:type="dxa" w:w="100"/>
              <w:bottom w:type="dxa" w:w="100"/>
              <w:right w:type="dxa" w:w="100"/>
            </w:tcMar>
            <w:vAlign w:val="center"/>
          </w:tcPr>
          <w:p>
            <w:pPr>
              <w:spacing w:after="30"/>
              <w:jc w:val="center"/>
            </w:pPr>
            <w:r>
              <w:rPr>
                <w:rFonts w:ascii="Arial" w:cs="Arial" w:eastAsia="Arial" w:hAnsi="Arial"/>
                <w:b/>
                <w:bCs/>
                <w:color w:val="F5D9E2"/>
                <w:spacing w:val="30"/>
                <w:sz w:val="14"/>
                <w:szCs w:val="14"/>
              </w:rPr>
              <w:t xml:space="preserve">COMPLEXITY</w:t>
            </w:r>
          </w:p>
          <w:p>
            <w:pPr>
              <w:spacing w:after="0"/>
              <w:jc w:val="center"/>
            </w:pPr>
            <w:r>
              <w:rPr>
                <w:rFonts w:ascii="Arial" w:cs="Arial" w:eastAsia="Arial" w:hAnsi="Arial"/>
                <w:b/>
                <w:bCs/>
                <w:color w:val="FFFFFF"/>
                <w:sz w:val="26"/>
                <w:szCs w:val="26"/>
              </w:rPr>
              <w:t xml:space="preserve">MACRO ★★★</w:t>
            </w:r>
          </w:p>
        </w:tc>
      </w:tr>
    </w:tbl>
    <w:p>
      <w:pPr>
        <w:spacing w:after="120" w:before="100"/>
      </w:pPr>
      <w:r>
        <w:rPr>
          <w:rFonts w:ascii="Arial" w:cs="Arial" w:eastAsia="Arial" w:hAnsi="Arial"/>
          <w:color w:val="5F5E5A"/>
          <w:sz w:val="17"/>
          <w:szCs w:val="17"/>
        </w:rPr>
        <w:t xml:space="preserve">Phase in the model:  </w:t>
      </w:r>
      <w:r>
        <w:rPr>
          <w:rFonts w:ascii="Arial" w:cs="Arial" w:eastAsia="Arial" w:hAnsi="Arial"/>
          <w:b/>
          <w:bCs/>
          <w:color w:val="FFFFFF"/>
          <w:sz w:val="17"/>
          <w:szCs w:val="17"/>
          <w:shd w:fill="2F7FC1" w:color="auto" w:val="clear"/>
        </w:rPr>
        <w:t xml:space="preserve"> SEEING </w:t>
      </w:r>
      <w:r>
        <w:rPr>
          <w:rFonts w:ascii="Arial" w:cs="Arial" w:eastAsia="Arial" w:hAnsi="Arial"/>
          <w:sz w:val="17"/>
          <w:szCs w:val="17"/>
        </w:rPr>
        <w:t xml:space="preserve">  </w:t>
      </w:r>
      <w:r>
        <w:rPr>
          <w:rFonts w:ascii="Arial" w:cs="Arial" w:eastAsia="Arial" w:hAnsi="Arial"/>
          <w:b/>
          <w:bCs/>
          <w:color w:val="FFFFFF"/>
          <w:sz w:val="17"/>
          <w:szCs w:val="17"/>
          <w:shd w:fill="D4537E" w:color="auto" w:val="clear"/>
        </w:rPr>
        <w:t xml:space="preserve"> WEIGHING </w:t>
      </w:r>
      <w:r>
        <w:rPr>
          <w:rFonts w:ascii="Arial" w:cs="Arial" w:eastAsia="Arial" w:hAnsi="Arial"/>
          <w:sz w:val="17"/>
          <w:szCs w:val="17"/>
        </w:rPr>
        <w:t xml:space="preserve">  </w:t>
      </w:r>
      <w:r>
        <w:rPr>
          <w:rFonts w:ascii="Arial" w:cs="Arial" w:eastAsia="Arial" w:hAnsi="Arial"/>
          <w:color w:val="5F5E5A"/>
          <w:sz w:val="17"/>
          <w:szCs w:val="17"/>
        </w:rPr>
        <w:t xml:space="preserve">     Time: 60 min     Group: 3–6 students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single" w:color="F6BD60" w:sz="6"/>
              <w:left w:val="single" w:color="F6BD60" w:sz="6"/>
              <w:bottom w:val="single" w:color="F6BD60" w:sz="6"/>
              <w:right w:val="single" w:color="F6BD60" w:sz="6"/>
            </w:tcBorders>
            <w:tcMar>
              <w:top w:type="dxa" w:w="0"/>
              <w:left w:type="dxa" w:w="0"/>
              <w:bottom w:type="dxa" w:w="0"/>
              <w:right w:type="dxa" w:w="0"/>
            </w:tcMar>
          </w:tcPr>
          <w:p>
            <w:pPr>
              <w:spacing w:after="0"/>
            </w:pPr>
            <w:r>
              <w:drawing>
                <wp:inline distT="0" distB="0" distL="0" distR="0">
                  <wp:extent cx="6238875" cy="3505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238875" cy="3505200"/>
                          </a:xfrm>
                          <a:prstGeom prst="rect">
                            <a:avLst/>
                          </a:prstGeom>
                        </pic:spPr>
                      </pic:pic>
                    </a:graphicData>
                  </a:graphic>
                </wp:inline>
              </w:drawing>
            </w:r>
          </w:p>
        </w:tc>
      </w:tr>
    </w:tbl>
    <w:p>
      <w:pPr>
        <w:keepNext/>
        <w:pBdr>
          <w:bottom w:val="single" w:color="5B2D8E" w:sz="8" w:space="2"/>
        </w:pBdr>
        <w:spacing w:after="90" w:before="200"/>
      </w:pPr>
      <w:r>
        <w:rPr>
          <w:rFonts w:ascii="Arial" w:cs="Arial" w:eastAsia="Arial" w:hAnsi="Arial"/>
          <w:b/>
          <w:bCs/>
          <w:color w:val="5B2D8E"/>
          <w:spacing w:val="30"/>
          <w:sz w:val="20"/>
          <w:szCs w:val="20"/>
        </w:rPr>
        <w:t xml:space="preserve">THE SITUATION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single" w:color="993556" w:sz="36"/>
              <w:bottom w:val="none" w:color="FFFFFF" w:sz="0"/>
              <w:right w:val="none" w:color="FFFFFF" w:sz="0"/>
            </w:tcBorders>
            <w:shd w:fill="E8EFEF" w:color="auto" w:val="clear"/>
            <w:tcMar>
              <w:top w:type="dxa" w:w="140"/>
              <w:left w:type="dxa" w:w="240"/>
              <w:bottom w:type="dxa" w:w="100"/>
              <w:right w:type="dxa" w:w="200"/>
            </w:tcMar>
          </w:tcPr>
          <w:p>
            <w:pPr>
              <w:spacing w:after="100" w:line="288"/>
            </w:pPr>
            <w:r>
              <w:rPr>
                <w:rFonts w:ascii="Arial" w:cs="Arial" w:eastAsia="Arial" w:hAnsi="Arial"/>
                <w:sz w:val="21"/>
                <w:szCs w:val="21"/>
              </w:rPr>
              <w:t xml:space="preserve">Parliament is debating a bill: employers may no longer contact employees after six in the evening, except in an emergency. The trade union calls it badly needed. Large employers are divided. Small businesses fear losing customers. For healthcare staff and people working shifts, the rule would change little.</w:t>
            </w:r>
          </w:p>
          <w:p>
            <w:pPr>
              <w:spacing w:after="100" w:line="288"/>
            </w:pPr>
            <w:r>
              <w:rPr>
                <w:rFonts w:ascii="Arial" w:cs="Arial" w:eastAsia="Arial" w:hAnsi="Arial"/>
                <w:sz w:val="21"/>
                <w:szCs w:val="21"/>
              </w:rPr>
              <w:t xml:space="preserve">Sara Bakker is an HR adviser at a regional employers’ association with three hundred members. The director asks her to prepare a position within two weeks. She knows that the law affects not only her members, but also employees, customers and the self-employed who work for them. She also knows that her own opinion is not decisive: this is about policy for the entire labour market.</w:t>
            </w:r>
          </w:p>
          <w:p>
            <w:pPr>
              <w:spacing w:after="40" w:line="288"/>
            </w:pPr>
            <w:r>
              <w:rPr>
                <w:rFonts w:ascii="Arial" w:cs="Arial" w:eastAsia="Arial" w:hAnsi="Arial"/>
                <w:sz w:val="21"/>
                <w:szCs w:val="21"/>
              </w:rPr>
              <w:t xml:space="preserve">Sara decides to make a table of who gains or loses what, and where, before choosing a position.</w:t>
            </w:r>
          </w:p>
        </w:tc>
      </w:tr>
    </w:tbl>
    <w:p>
      <w:pPr>
        <w:spacing w:after="0" w:before="60"/>
      </w:pPr>
      <w:r>
        <w:rPr>
          <w:rFonts w:ascii="Arial" w:cs="Arial" w:eastAsia="Arial" w:hAnsi="Arial"/>
          <w:i/>
          <w:iCs/>
          <w:color w:val="5F5E5A"/>
          <w:sz w:val="15"/>
          <w:szCs w:val="15"/>
        </w:rPr>
        <w:t xml:space="preserve">Fictional case. Any resemblance to real persons or organisations is coincidental.</w:t>
      </w:r>
    </w:p>
    <w:p>
      <w:pPr>
        <w:pageBreakBefore/>
        <w:spacing w:after="0"/>
      </w:pPr>
      <w:r>
        <w:rPr>
          <w:rFonts w:ascii="Arial" w:cs="Arial" w:eastAsia="Arial" w:hAnsi="Arial"/>
          <w:sz w:val="21"/>
          <w:szCs w:val="21"/>
        </w:rPr>
        <w:t xml:space="preserve"/>
      </w:r>
    </w:p>
    <w:p>
      <w:pPr>
        <w:keepNext/>
        <w:pBdr>
          <w:bottom w:val="single" w:color="5B2D8E" w:sz="8" w:space="2"/>
        </w:pBdr>
        <w:spacing w:after="90" w:before="200"/>
      </w:pPr>
      <w:r>
        <w:rPr>
          <w:rFonts w:ascii="Arial" w:cs="Arial" w:eastAsia="Arial" w:hAnsi="Arial"/>
          <w:b/>
          <w:bCs/>
          <w:color w:val="5B2D8E"/>
          <w:spacing w:val="30"/>
          <w:sz w:val="20"/>
          <w:szCs w:val="20"/>
        </w:rPr>
        <w:t xml:space="preserve">HOW TO WORK</w:t>
      </w:r>
    </w:p>
    <w:p>
      <w:pPr>
        <w:pStyle w:val="ListParagraph"/>
        <w:numPr>
          <w:ilvl w:val="0"/>
          <w:numId w:val="2"/>
        </w:numPr>
        <w:spacing w:after="50" w:line="264"/>
      </w:pPr>
      <w:r>
        <w:rPr>
          <w:rFonts w:ascii="Arial" w:cs="Arial" w:eastAsia="Arial" w:hAnsi="Arial"/>
          <w:sz w:val="20"/>
          <w:szCs w:val="20"/>
        </w:rPr>
        <w:t xml:space="preserve">Read the case. Determine which parties the law affects. </w:t>
      </w:r>
      <w:r>
        <w:rPr>
          <w:rFonts w:ascii="Arial" w:cs="Arial" w:eastAsia="Arial" w:hAnsi="Arial"/>
          <w:i/>
          <w:iCs/>
          <w:color w:val="5F5E5A"/>
          <w:sz w:val="18"/>
          <w:szCs w:val="18"/>
        </w:rPr>
        <w:t xml:space="preserve">(5 min)</w:t>
      </w:r>
    </w:p>
    <w:p>
      <w:pPr>
        <w:pStyle w:val="ListParagraph"/>
        <w:numPr>
          <w:ilvl w:val="0"/>
          <w:numId w:val="2"/>
        </w:numPr>
        <w:spacing w:after="50" w:line="264"/>
      </w:pPr>
      <w:r>
        <w:rPr>
          <w:rFonts w:ascii="Arial" w:cs="Arial" w:eastAsia="Arial" w:hAnsi="Arial"/>
          <w:sz w:val="20"/>
          <w:szCs w:val="20"/>
        </w:rPr>
        <w:t xml:space="preserve">Fill in the matrix: what does the law mean for each party, per principle? Use +, 0 or − and one keyword. </w:t>
      </w:r>
      <w:r>
        <w:rPr>
          <w:rFonts w:ascii="Arial" w:cs="Arial" w:eastAsia="Arial" w:hAnsi="Arial"/>
          <w:i/>
          <w:iCs/>
          <w:color w:val="5F5E5A"/>
          <w:sz w:val="18"/>
          <w:szCs w:val="18"/>
        </w:rPr>
        <w:t xml:space="preserve">(25 min)</w:t>
      </w:r>
    </w:p>
    <w:p>
      <w:pPr>
        <w:pStyle w:val="ListParagraph"/>
        <w:numPr>
          <w:ilvl w:val="0"/>
          <w:numId w:val="2"/>
        </w:numPr>
        <w:spacing w:after="50" w:line="264"/>
      </w:pPr>
      <w:r>
        <w:rPr>
          <w:rFonts w:ascii="Arial" w:cs="Arial" w:eastAsia="Arial" w:hAnsi="Arial"/>
          <w:sz w:val="20"/>
          <w:szCs w:val="20"/>
        </w:rPr>
        <w:t xml:space="preserve">Choose the cells that weigh most heavily. Explain why. </w:t>
      </w:r>
      <w:r>
        <w:rPr>
          <w:rFonts w:ascii="Arial" w:cs="Arial" w:eastAsia="Arial" w:hAnsi="Arial"/>
          <w:i/>
          <w:iCs/>
          <w:color w:val="5F5E5A"/>
          <w:sz w:val="18"/>
          <w:szCs w:val="18"/>
        </w:rPr>
        <w:t xml:space="preserve">(10 min)</w:t>
      </w:r>
    </w:p>
    <w:p>
      <w:pPr>
        <w:pStyle w:val="ListParagraph"/>
        <w:numPr>
          <w:ilvl w:val="0"/>
          <w:numId w:val="2"/>
        </w:numPr>
        <w:spacing w:after="50" w:line="264"/>
      </w:pPr>
      <w:r>
        <w:rPr>
          <w:rFonts w:ascii="Arial" w:cs="Arial" w:eastAsia="Arial" w:hAnsi="Arial"/>
          <w:sz w:val="20"/>
          <w:szCs w:val="20"/>
        </w:rPr>
        <w:t xml:space="preserve">Formulate the position of the employers’ association in two sentences. </w:t>
      </w:r>
      <w:r>
        <w:rPr>
          <w:rFonts w:ascii="Arial" w:cs="Arial" w:eastAsia="Arial" w:hAnsi="Arial"/>
          <w:i/>
          <w:iCs/>
          <w:color w:val="5F5E5A"/>
          <w:sz w:val="18"/>
          <w:szCs w:val="18"/>
        </w:rPr>
        <w:t xml:space="preserve">(10 min)</w:t>
      </w:r>
    </w:p>
    <w:p>
      <w:pPr>
        <w:pStyle w:val="ListParagraph"/>
        <w:numPr>
          <w:ilvl w:val="0"/>
          <w:numId w:val="2"/>
        </w:numPr>
        <w:spacing w:after="50" w:line="264"/>
      </w:pPr>
      <w:r>
        <w:rPr>
          <w:rFonts w:ascii="Arial" w:cs="Arial" w:eastAsia="Arial" w:hAnsi="Arial"/>
          <w:sz w:val="20"/>
          <w:szCs w:val="20"/>
        </w:rPr>
        <w:t xml:space="preserve">Compare with another group. What weighed more heavily for them? </w:t>
      </w:r>
      <w:r>
        <w:rPr>
          <w:rFonts w:ascii="Arial" w:cs="Arial" w:eastAsia="Arial" w:hAnsi="Arial"/>
          <w:i/>
          <w:iCs/>
          <w:color w:val="5F5E5A"/>
          <w:sz w:val="18"/>
          <w:szCs w:val="18"/>
        </w:rPr>
        <w:t xml:space="preserve">(10 min)</w:t>
      </w:r>
    </w:p>
    <w:p>
      <w:pPr>
        <w:keepNext/>
        <w:pBdr>
          <w:bottom w:val="single" w:color="5B2D8E" w:sz="8" w:space="2"/>
        </w:pBdr>
        <w:spacing w:after="90" w:before="200"/>
      </w:pPr>
      <w:r>
        <w:rPr>
          <w:rFonts w:ascii="Arial" w:cs="Arial" w:eastAsia="Arial" w:hAnsi="Arial"/>
          <w:b/>
          <w:bCs/>
          <w:color w:val="5B2D8E"/>
          <w:spacing w:val="30"/>
          <w:sz w:val="20"/>
          <w:szCs w:val="20"/>
        </w:rPr>
        <w:t xml:space="preserve">STEP 2 — THE MATRIX</w:t>
      </w:r>
    </w:p>
    <w:p>
      <w:pPr>
        <w:spacing w:after="60"/>
      </w:pPr>
      <w:r>
        <w:rPr>
          <w:rFonts w:ascii="Arial" w:cs="Arial" w:eastAsia="Arial" w:hAnsi="Arial"/>
          <w:sz w:val="20"/>
          <w:szCs w:val="20"/>
        </w:rPr>
        <w:t xml:space="preserve">Wellbeing: does someone’s health and happiness improve or worsen?  Autonomy: does someone have more or less choice of their own?  Justice: are burdens and benefits distributed fairly?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000"/>
        <w:gridCol w:w="2302"/>
        <w:gridCol w:w="2302"/>
        <w:gridCol w:w="2302"/>
      </w:tblGrid>
      <w:tr>
        <w:trPr>
          <w:tblHeader/>
        </w:trPr>
        <w:tc>
          <w:tcPr>
            <w:tcW w:type="dxa" w:w="3000"/>
            <w:tcBorders>
              <w:top w:val="single" w:color="BFC5CC" w:sz="4"/>
              <w:left w:val="single" w:color="BFC5CC" w:sz="4"/>
              <w:bottom w:val="single" w:color="BFC5CC" w:sz="4"/>
              <w:right w:val="single" w:color="BFC5CC" w:sz="4"/>
            </w:tcBorders>
            <w:shd w:fill="354F52" w:color="auto" w:val="clear"/>
            <w:tcMar>
              <w:top w:type="dxa" w:w="80"/>
              <w:left w:type="dxa" w:w="110"/>
              <w:bottom w:type="dxa" w:w="80"/>
              <w:right w:type="dxa" w:w="110"/>
            </w:tcMar>
          </w:tcPr>
          <w:p>
            <w:pPr>
              <w:spacing w:after="0"/>
            </w:pPr>
            <w:r>
              <w:rPr>
                <w:rFonts w:ascii="Arial" w:cs="Arial" w:eastAsia="Arial" w:hAnsi="Arial"/>
                <w:b/>
                <w:bCs/>
                <w:color w:val="FFFFFF"/>
                <w:sz w:val="19"/>
                <w:szCs w:val="19"/>
              </w:rPr>
              <w:t xml:space="preserve">Stakeholder</w:t>
            </w:r>
          </w:p>
        </w:tc>
        <w:tc>
          <w:tcPr>
            <w:tcW w:type="dxa" w:w="2302"/>
            <w:tcBorders>
              <w:top w:val="single" w:color="BFC5CC" w:sz="4"/>
              <w:left w:val="single" w:color="BFC5CC" w:sz="4"/>
              <w:bottom w:val="single" w:color="BFC5CC" w:sz="4"/>
              <w:right w:val="single" w:color="BFC5CC" w:sz="4"/>
            </w:tcBorders>
            <w:shd w:fill="354F52" w:color="auto" w:val="clear"/>
            <w:tcMar>
              <w:top w:type="dxa" w:w="80"/>
              <w:left w:type="dxa" w:w="110"/>
              <w:bottom w:type="dxa" w:w="80"/>
              <w:right w:type="dxa" w:w="110"/>
            </w:tcMar>
          </w:tcPr>
          <w:p>
            <w:pPr>
              <w:spacing w:after="0"/>
            </w:pPr>
            <w:r>
              <w:rPr>
                <w:rFonts w:ascii="Arial" w:cs="Arial" w:eastAsia="Arial" w:hAnsi="Arial"/>
                <w:b/>
                <w:bCs/>
                <w:color w:val="FFFFFF"/>
                <w:sz w:val="19"/>
                <w:szCs w:val="19"/>
              </w:rPr>
              <w:t xml:space="preserve">Wellbeing</w:t>
            </w:r>
          </w:p>
        </w:tc>
        <w:tc>
          <w:tcPr>
            <w:tcW w:type="dxa" w:w="2302"/>
            <w:tcBorders>
              <w:top w:val="single" w:color="BFC5CC" w:sz="4"/>
              <w:left w:val="single" w:color="BFC5CC" w:sz="4"/>
              <w:bottom w:val="single" w:color="BFC5CC" w:sz="4"/>
              <w:right w:val="single" w:color="BFC5CC" w:sz="4"/>
            </w:tcBorders>
            <w:shd w:fill="354F52" w:color="auto" w:val="clear"/>
            <w:tcMar>
              <w:top w:type="dxa" w:w="80"/>
              <w:left w:type="dxa" w:w="110"/>
              <w:bottom w:type="dxa" w:w="80"/>
              <w:right w:type="dxa" w:w="110"/>
            </w:tcMar>
          </w:tcPr>
          <w:p>
            <w:pPr>
              <w:spacing w:after="0"/>
            </w:pPr>
            <w:r>
              <w:rPr>
                <w:rFonts w:ascii="Arial" w:cs="Arial" w:eastAsia="Arial" w:hAnsi="Arial"/>
                <w:b/>
                <w:bCs/>
                <w:color w:val="FFFFFF"/>
                <w:sz w:val="19"/>
                <w:szCs w:val="19"/>
              </w:rPr>
              <w:t xml:space="preserve">Autonomy</w:t>
            </w:r>
          </w:p>
        </w:tc>
        <w:tc>
          <w:tcPr>
            <w:tcW w:type="dxa" w:w="2302"/>
            <w:tcBorders>
              <w:top w:val="single" w:color="BFC5CC" w:sz="4"/>
              <w:left w:val="single" w:color="BFC5CC" w:sz="4"/>
              <w:bottom w:val="single" w:color="BFC5CC" w:sz="4"/>
              <w:right w:val="single" w:color="BFC5CC" w:sz="4"/>
            </w:tcBorders>
            <w:shd w:fill="354F52" w:color="auto" w:val="clear"/>
            <w:tcMar>
              <w:top w:type="dxa" w:w="80"/>
              <w:left w:type="dxa" w:w="110"/>
              <w:bottom w:type="dxa" w:w="80"/>
              <w:right w:type="dxa" w:w="110"/>
            </w:tcMar>
          </w:tcPr>
          <w:p>
            <w:pPr>
              <w:spacing w:after="0"/>
            </w:pPr>
            <w:r>
              <w:rPr>
                <w:rFonts w:ascii="Arial" w:cs="Arial" w:eastAsia="Arial" w:hAnsi="Arial"/>
                <w:b/>
                <w:bCs/>
                <w:color w:val="FFFFFF"/>
                <w:sz w:val="19"/>
                <w:szCs w:val="19"/>
              </w:rPr>
              <w:t xml:space="preserve">Justice</w:t>
            </w:r>
          </w:p>
        </w:tc>
      </w:tr>
      <w:tr>
        <w:trPr>
          <w:trHeight w:val="520" w:hRule="atLeast"/>
        </w:trPr>
        <w:tc>
          <w:tcPr>
            <w:tcW w:type="dxa" w:w="3000"/>
            <w:tcBorders>
              <w:top w:val="single" w:color="BFC5CC" w:sz="4"/>
              <w:left w:val="single" w:color="BFC5CC" w:sz="4"/>
              <w:bottom w:val="single" w:color="BFC5CC" w:sz="4"/>
              <w:right w:val="single" w:color="BFC5CC" w:sz="4"/>
            </w:tcBorders>
            <w:shd w:fill="E8EFEF" w:color="auto" w:val="clear"/>
            <w:tcMar>
              <w:top w:type="dxa" w:w="80"/>
              <w:left w:type="dxa" w:w="110"/>
              <w:bottom w:type="dxa" w:w="80"/>
              <w:right w:type="dxa" w:w="110"/>
            </w:tcMar>
          </w:tcPr>
          <w:p>
            <w:pPr>
              <w:spacing w:after="20"/>
            </w:pPr>
            <w:r>
              <w:rPr>
                <w:rFonts w:ascii="Arial" w:cs="Arial" w:eastAsia="Arial" w:hAnsi="Arial"/>
                <w:b/>
                <w:bCs/>
                <w:color w:val="354F52"/>
                <w:sz w:val="19"/>
                <w:szCs w:val="19"/>
              </w:rPr>
              <w:t xml:space="preserve">Employee with a permanent contract</w:t>
            </w:r>
          </w:p>
        </w:tc>
        <w:tc>
          <w:tcPr>
            <w:tcW w:type="dxa" w:w="2302"/>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pPr>
            <w:r>
              <w:rPr>
                <w:rFonts w:ascii="Arial" w:cs="Arial" w:eastAsia="Arial" w:hAnsi="Arial"/>
                <w:sz w:val="21"/>
                <w:szCs w:val="21"/>
              </w:rPr>
              <w:t xml:space="preserve"/>
            </w:r>
          </w:p>
        </w:tc>
        <w:tc>
          <w:tcPr>
            <w:tcW w:type="dxa" w:w="2302"/>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pPr>
            <w:r>
              <w:rPr>
                <w:rFonts w:ascii="Arial" w:cs="Arial" w:eastAsia="Arial" w:hAnsi="Arial"/>
                <w:sz w:val="21"/>
                <w:szCs w:val="21"/>
              </w:rPr>
              <w:t xml:space="preserve"/>
            </w:r>
          </w:p>
        </w:tc>
        <w:tc>
          <w:tcPr>
            <w:tcW w:type="dxa" w:w="2302"/>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pPr>
            <w:r>
              <w:rPr>
                <w:rFonts w:ascii="Arial" w:cs="Arial" w:eastAsia="Arial" w:hAnsi="Arial"/>
                <w:sz w:val="21"/>
                <w:szCs w:val="21"/>
              </w:rPr>
              <w:t xml:space="preserve"/>
            </w:r>
          </w:p>
        </w:tc>
      </w:tr>
      <w:tr>
        <w:trPr>
          <w:trHeight w:val="520" w:hRule="atLeast"/>
        </w:trPr>
        <w:tc>
          <w:tcPr>
            <w:tcW w:type="dxa" w:w="3000"/>
            <w:tcBorders>
              <w:top w:val="single" w:color="BFC5CC" w:sz="4"/>
              <w:left w:val="single" w:color="BFC5CC" w:sz="4"/>
              <w:bottom w:val="single" w:color="BFC5CC" w:sz="4"/>
              <w:right w:val="single" w:color="BFC5CC" w:sz="4"/>
            </w:tcBorders>
            <w:shd w:fill="E8EFEF" w:color="auto" w:val="clear"/>
            <w:tcMar>
              <w:top w:type="dxa" w:w="80"/>
              <w:left w:type="dxa" w:w="110"/>
              <w:bottom w:type="dxa" w:w="80"/>
              <w:right w:type="dxa" w:w="110"/>
            </w:tcMar>
          </w:tcPr>
          <w:p>
            <w:pPr>
              <w:spacing w:after="20"/>
            </w:pPr>
            <w:r>
              <w:rPr>
                <w:rFonts w:ascii="Arial" w:cs="Arial" w:eastAsia="Arial" w:hAnsi="Arial"/>
                <w:b/>
                <w:bCs/>
                <w:color w:val="354F52"/>
                <w:sz w:val="19"/>
                <w:szCs w:val="19"/>
              </w:rPr>
              <w:t xml:space="preserve">Employee in healthcare or shift work</w:t>
            </w:r>
          </w:p>
        </w:tc>
        <w:tc>
          <w:tcPr>
            <w:tcW w:type="dxa" w:w="2302"/>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pPr>
            <w:r>
              <w:rPr>
                <w:rFonts w:ascii="Arial" w:cs="Arial" w:eastAsia="Arial" w:hAnsi="Arial"/>
                <w:sz w:val="21"/>
                <w:szCs w:val="21"/>
              </w:rPr>
              <w:t xml:space="preserve"/>
            </w:r>
          </w:p>
        </w:tc>
        <w:tc>
          <w:tcPr>
            <w:tcW w:type="dxa" w:w="2302"/>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pPr>
            <w:r>
              <w:rPr>
                <w:rFonts w:ascii="Arial" w:cs="Arial" w:eastAsia="Arial" w:hAnsi="Arial"/>
                <w:sz w:val="21"/>
                <w:szCs w:val="21"/>
              </w:rPr>
              <w:t xml:space="preserve"/>
            </w:r>
          </w:p>
        </w:tc>
        <w:tc>
          <w:tcPr>
            <w:tcW w:type="dxa" w:w="2302"/>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pPr>
            <w:r>
              <w:rPr>
                <w:rFonts w:ascii="Arial" w:cs="Arial" w:eastAsia="Arial" w:hAnsi="Arial"/>
                <w:sz w:val="21"/>
                <w:szCs w:val="21"/>
              </w:rPr>
              <w:t xml:space="preserve"/>
            </w:r>
          </w:p>
        </w:tc>
      </w:tr>
      <w:tr>
        <w:trPr>
          <w:trHeight w:val="520" w:hRule="atLeast"/>
        </w:trPr>
        <w:tc>
          <w:tcPr>
            <w:tcW w:type="dxa" w:w="3000"/>
            <w:tcBorders>
              <w:top w:val="single" w:color="BFC5CC" w:sz="4"/>
              <w:left w:val="single" w:color="BFC5CC" w:sz="4"/>
              <w:bottom w:val="single" w:color="BFC5CC" w:sz="4"/>
              <w:right w:val="single" w:color="BFC5CC" w:sz="4"/>
            </w:tcBorders>
            <w:shd w:fill="E8EFEF" w:color="auto" w:val="clear"/>
            <w:tcMar>
              <w:top w:type="dxa" w:w="80"/>
              <w:left w:type="dxa" w:w="110"/>
              <w:bottom w:type="dxa" w:w="80"/>
              <w:right w:type="dxa" w:w="110"/>
            </w:tcMar>
          </w:tcPr>
          <w:p>
            <w:pPr>
              <w:spacing w:after="20"/>
            </w:pPr>
            <w:r>
              <w:rPr>
                <w:rFonts w:ascii="Arial" w:cs="Arial" w:eastAsia="Arial" w:hAnsi="Arial"/>
                <w:b/>
                <w:bCs/>
                <w:color w:val="354F52"/>
                <w:sz w:val="19"/>
                <w:szCs w:val="19"/>
              </w:rPr>
              <w:t xml:space="preserve">Small business owner or self-employed</w:t>
            </w:r>
          </w:p>
        </w:tc>
        <w:tc>
          <w:tcPr>
            <w:tcW w:type="dxa" w:w="2302"/>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pPr>
            <w:r>
              <w:rPr>
                <w:rFonts w:ascii="Arial" w:cs="Arial" w:eastAsia="Arial" w:hAnsi="Arial"/>
                <w:sz w:val="21"/>
                <w:szCs w:val="21"/>
              </w:rPr>
              <w:t xml:space="preserve"/>
            </w:r>
          </w:p>
        </w:tc>
        <w:tc>
          <w:tcPr>
            <w:tcW w:type="dxa" w:w="2302"/>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pPr>
            <w:r>
              <w:rPr>
                <w:rFonts w:ascii="Arial" w:cs="Arial" w:eastAsia="Arial" w:hAnsi="Arial"/>
                <w:sz w:val="21"/>
                <w:szCs w:val="21"/>
              </w:rPr>
              <w:t xml:space="preserve"/>
            </w:r>
          </w:p>
        </w:tc>
        <w:tc>
          <w:tcPr>
            <w:tcW w:type="dxa" w:w="2302"/>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pPr>
            <w:r>
              <w:rPr>
                <w:rFonts w:ascii="Arial" w:cs="Arial" w:eastAsia="Arial" w:hAnsi="Arial"/>
                <w:sz w:val="21"/>
                <w:szCs w:val="21"/>
              </w:rPr>
              <w:t xml:space="preserve"/>
            </w:r>
          </w:p>
        </w:tc>
      </w:tr>
      <w:tr>
        <w:trPr>
          <w:trHeight w:val="520" w:hRule="atLeast"/>
        </w:trPr>
        <w:tc>
          <w:tcPr>
            <w:tcW w:type="dxa" w:w="3000"/>
            <w:tcBorders>
              <w:top w:val="single" w:color="BFC5CC" w:sz="4"/>
              <w:left w:val="single" w:color="BFC5CC" w:sz="4"/>
              <w:bottom w:val="single" w:color="BFC5CC" w:sz="4"/>
              <w:right w:val="single" w:color="BFC5CC" w:sz="4"/>
            </w:tcBorders>
            <w:shd w:fill="E8EFEF" w:color="auto" w:val="clear"/>
            <w:tcMar>
              <w:top w:type="dxa" w:w="80"/>
              <w:left w:type="dxa" w:w="110"/>
              <w:bottom w:type="dxa" w:w="80"/>
              <w:right w:type="dxa" w:w="110"/>
            </w:tcMar>
          </w:tcPr>
          <w:p>
            <w:pPr>
              <w:spacing w:after="20"/>
            </w:pPr>
            <w:r>
              <w:rPr>
                <w:rFonts w:ascii="Arial" w:cs="Arial" w:eastAsia="Arial" w:hAnsi="Arial"/>
                <w:b/>
                <w:bCs/>
                <w:color w:val="354F52"/>
                <w:sz w:val="19"/>
                <w:szCs w:val="19"/>
              </w:rPr>
              <w:t xml:space="preserve">Customer or patient</w:t>
            </w:r>
          </w:p>
        </w:tc>
        <w:tc>
          <w:tcPr>
            <w:tcW w:type="dxa" w:w="2302"/>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pPr>
            <w:r>
              <w:rPr>
                <w:rFonts w:ascii="Arial" w:cs="Arial" w:eastAsia="Arial" w:hAnsi="Arial"/>
                <w:sz w:val="21"/>
                <w:szCs w:val="21"/>
              </w:rPr>
              <w:t xml:space="preserve"/>
            </w:r>
          </w:p>
        </w:tc>
        <w:tc>
          <w:tcPr>
            <w:tcW w:type="dxa" w:w="2302"/>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pPr>
            <w:r>
              <w:rPr>
                <w:rFonts w:ascii="Arial" w:cs="Arial" w:eastAsia="Arial" w:hAnsi="Arial"/>
                <w:sz w:val="21"/>
                <w:szCs w:val="21"/>
              </w:rPr>
              <w:t xml:space="preserve"/>
            </w:r>
          </w:p>
        </w:tc>
        <w:tc>
          <w:tcPr>
            <w:tcW w:type="dxa" w:w="2302"/>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pPr>
            <w:r>
              <w:rPr>
                <w:rFonts w:ascii="Arial" w:cs="Arial" w:eastAsia="Arial" w:hAnsi="Arial"/>
                <w:sz w:val="21"/>
                <w:szCs w:val="21"/>
              </w:rPr>
              <w:t xml:space="preserve"/>
            </w:r>
          </w:p>
        </w:tc>
      </w:tr>
      <w:tr>
        <w:trPr>
          <w:trHeight w:val="520" w:hRule="atLeast"/>
        </w:trPr>
        <w:tc>
          <w:tcPr>
            <w:tcW w:type="dxa" w:w="3000"/>
            <w:tcBorders>
              <w:top w:val="single" w:color="BFC5CC" w:sz="4"/>
              <w:left w:val="single" w:color="BFC5CC" w:sz="4"/>
              <w:bottom w:val="single" w:color="BFC5CC" w:sz="4"/>
              <w:right w:val="single" w:color="BFC5CC" w:sz="4"/>
            </w:tcBorders>
            <w:shd w:fill="E8EFEF" w:color="auto" w:val="clear"/>
            <w:tcMar>
              <w:top w:type="dxa" w:w="80"/>
              <w:left w:type="dxa" w:w="110"/>
              <w:bottom w:type="dxa" w:w="80"/>
              <w:right w:type="dxa" w:w="110"/>
            </w:tcMar>
          </w:tcPr>
          <w:p>
            <w:pPr>
              <w:spacing w:after="20"/>
            </w:pPr>
            <w:r>
              <w:rPr>
                <w:rFonts w:ascii="Arial" w:cs="Arial" w:eastAsia="Arial" w:hAnsi="Arial"/>
                <w:b/>
                <w:bCs/>
                <w:color w:val="354F52"/>
                <w:sz w:val="19"/>
                <w:szCs w:val="19"/>
              </w:rPr>
              <w:t xml:space="preserve">Own choice:</w:t>
            </w:r>
          </w:p>
        </w:tc>
        <w:tc>
          <w:tcPr>
            <w:tcW w:type="dxa" w:w="2302"/>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pPr>
            <w:r>
              <w:rPr>
                <w:rFonts w:ascii="Arial" w:cs="Arial" w:eastAsia="Arial" w:hAnsi="Arial"/>
                <w:sz w:val="21"/>
                <w:szCs w:val="21"/>
              </w:rPr>
              <w:t xml:space="preserve"/>
            </w:r>
          </w:p>
        </w:tc>
        <w:tc>
          <w:tcPr>
            <w:tcW w:type="dxa" w:w="2302"/>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pPr>
            <w:r>
              <w:rPr>
                <w:rFonts w:ascii="Arial" w:cs="Arial" w:eastAsia="Arial" w:hAnsi="Arial"/>
                <w:sz w:val="21"/>
                <w:szCs w:val="21"/>
              </w:rPr>
              <w:t xml:space="preserve"/>
            </w:r>
          </w:p>
        </w:tc>
        <w:tc>
          <w:tcPr>
            <w:tcW w:type="dxa" w:w="2302"/>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pPr>
            <w:r>
              <w:rPr>
                <w:rFonts w:ascii="Arial" w:cs="Arial" w:eastAsia="Arial" w:hAnsi="Arial"/>
                <w:sz w:val="21"/>
                <w:szCs w:val="21"/>
              </w:rPr>
              <w:t xml:space="preserve"/>
            </w:r>
          </w:p>
        </w:tc>
      </w:tr>
      <w:tr>
        <w:trPr>
          <w:trHeight w:val="520" w:hRule="atLeast"/>
        </w:trPr>
        <w:tc>
          <w:tcPr>
            <w:tcW w:type="dxa" w:w="3000"/>
            <w:tcBorders>
              <w:top w:val="single" w:color="BFC5CC" w:sz="4"/>
              <w:left w:val="single" w:color="BFC5CC" w:sz="4"/>
              <w:bottom w:val="single" w:color="BFC5CC" w:sz="4"/>
              <w:right w:val="single" w:color="BFC5CC" w:sz="4"/>
            </w:tcBorders>
            <w:shd w:fill="E8EFEF" w:color="auto" w:val="clear"/>
            <w:tcMar>
              <w:top w:type="dxa" w:w="80"/>
              <w:left w:type="dxa" w:w="110"/>
              <w:bottom w:type="dxa" w:w="80"/>
              <w:right w:type="dxa" w:w="110"/>
            </w:tcMar>
          </w:tcPr>
          <w:p>
            <w:pPr>
              <w:spacing w:after="20"/>
            </w:pPr>
            <w:r>
              <w:rPr>
                <w:rFonts w:ascii="Arial" w:cs="Arial" w:eastAsia="Arial" w:hAnsi="Arial"/>
                <w:b/>
                <w:bCs/>
                <w:color w:val="354F52"/>
                <w:sz w:val="19"/>
                <w:szCs w:val="19"/>
              </w:rPr>
              <w:t xml:space="preserve">Own choice:</w:t>
            </w:r>
          </w:p>
        </w:tc>
        <w:tc>
          <w:tcPr>
            <w:tcW w:type="dxa" w:w="2302"/>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pPr>
            <w:r>
              <w:rPr>
                <w:rFonts w:ascii="Arial" w:cs="Arial" w:eastAsia="Arial" w:hAnsi="Arial"/>
                <w:sz w:val="21"/>
                <w:szCs w:val="21"/>
              </w:rPr>
              <w:t xml:space="preserve"/>
            </w:r>
          </w:p>
        </w:tc>
        <w:tc>
          <w:tcPr>
            <w:tcW w:type="dxa" w:w="2302"/>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pPr>
            <w:r>
              <w:rPr>
                <w:rFonts w:ascii="Arial" w:cs="Arial" w:eastAsia="Arial" w:hAnsi="Arial"/>
                <w:sz w:val="21"/>
                <w:szCs w:val="21"/>
              </w:rPr>
              <w:t xml:space="preserve"/>
            </w:r>
          </w:p>
        </w:tc>
        <w:tc>
          <w:tcPr>
            <w:tcW w:type="dxa" w:w="2302"/>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pPr>
            <w:r>
              <w:rPr>
                <w:rFonts w:ascii="Arial" w:cs="Arial" w:eastAsia="Arial" w:hAnsi="Arial"/>
                <w:sz w:val="21"/>
                <w:szCs w:val="21"/>
              </w:rPr>
              <w:t xml:space="preserve"/>
            </w:r>
          </w:p>
        </w:tc>
      </w:tr>
    </w:tbl>
    <w:p>
      <w:pPr>
        <w:keepNext/>
        <w:pBdr>
          <w:bottom w:val="single" w:color="5B2D8E" w:sz="8" w:space="2"/>
        </w:pBdr>
        <w:spacing w:after="90" w:before="200"/>
      </w:pPr>
      <w:r>
        <w:rPr>
          <w:rFonts w:ascii="Arial" w:cs="Arial" w:eastAsia="Arial" w:hAnsi="Arial"/>
          <w:b/>
          <w:bCs/>
          <w:color w:val="5B2D8E"/>
          <w:spacing w:val="30"/>
          <w:sz w:val="20"/>
          <w:szCs w:val="20"/>
        </w:rPr>
        <w:t xml:space="preserve">STEP 3 — WHAT WEIGHS HEAVILY?</w:t>
      </w:r>
    </w:p>
    <w:p>
      <w:pPr>
        <w:pBdr>
          <w:bottom w:val="single" w:color="C9CED4" w:sz="4" w:space="1"/>
        </w:pBdr>
        <w:spacing w:after="0" w:before="0" w:line="340" w:lineRule="exact"/>
        <w:ind w:right="0"/>
      </w:pPr>
      <w:r>
        <w:rPr>
          <w:rFonts w:ascii="Arial" w:cs="Arial" w:eastAsia="Arial" w:hAnsi="Arial"/>
          <w:sz w:val="21"/>
          <w:szCs w:val="21"/>
        </w:rPr>
        <w:t xml:space="preserve"/>
      </w:r>
    </w:p>
    <w:p>
      <w:pPr>
        <w:pBdr>
          <w:bottom w:val="single" w:color="C9CED4" w:sz="4" w:space="1"/>
        </w:pBdr>
        <w:spacing w:after="0" w:before="0" w:line="340" w:lineRule="exact"/>
        <w:ind w:right="2"/>
      </w:pPr>
      <w:r>
        <w:rPr>
          <w:rFonts w:ascii="Arial" w:cs="Arial" w:eastAsia="Arial" w:hAnsi="Arial"/>
          <w:sz w:val="21"/>
          <w:szCs w:val="21"/>
        </w:rPr>
        <w:t xml:space="preserve"/>
      </w:r>
    </w:p>
    <w:p>
      <w:pPr>
        <w:keepNext/>
        <w:pBdr>
          <w:bottom w:val="single" w:color="5B2D8E" w:sz="8" w:space="2"/>
        </w:pBdr>
        <w:spacing w:after="90" w:before="200"/>
      </w:pPr>
      <w:r>
        <w:rPr>
          <w:rFonts w:ascii="Arial" w:cs="Arial" w:eastAsia="Arial" w:hAnsi="Arial"/>
          <w:b/>
          <w:bCs/>
          <w:color w:val="5B2D8E"/>
          <w:spacing w:val="30"/>
          <w:sz w:val="20"/>
          <w:szCs w:val="20"/>
        </w:rPr>
        <w:t xml:space="preserve">STEP 4 — OUR POSITION</w:t>
      </w:r>
    </w:p>
    <w:p>
      <w:pPr>
        <w:pBdr>
          <w:bottom w:val="single" w:color="C9CED4" w:sz="4" w:space="1"/>
        </w:pBdr>
        <w:spacing w:after="0" w:before="0" w:line="340" w:lineRule="exact"/>
        <w:ind w:right="0"/>
      </w:pPr>
      <w:r>
        <w:rPr>
          <w:rFonts w:ascii="Arial" w:cs="Arial" w:eastAsia="Arial" w:hAnsi="Arial"/>
          <w:sz w:val="21"/>
          <w:szCs w:val="21"/>
        </w:rPr>
        <w:t xml:space="preserve"/>
      </w:r>
    </w:p>
    <w:p>
      <w:pPr>
        <w:pBdr>
          <w:bottom w:val="single" w:color="C9CED4" w:sz="4" w:space="1"/>
        </w:pBdr>
        <w:spacing w:after="0" w:before="0" w:line="340" w:lineRule="exact"/>
        <w:ind w:right="2"/>
      </w:pPr>
      <w:r>
        <w:rPr>
          <w:rFonts w:ascii="Arial" w:cs="Arial" w:eastAsia="Arial" w:hAnsi="Arial"/>
          <w:sz w:val="21"/>
          <w:szCs w:val="21"/>
        </w:rPr>
        <w:t xml:space="preserve"/>
      </w:r>
    </w:p>
    <w:p>
      <w:pPr>
        <w:keepNext/>
        <w:pBdr>
          <w:bottom w:val="single" w:color="5B2D8E" w:sz="8" w:space="2"/>
        </w:pBdr>
        <w:spacing w:after="90" w:before="200"/>
      </w:pPr>
      <w:r>
        <w:rPr>
          <w:rFonts w:ascii="Arial" w:cs="Arial" w:eastAsia="Arial" w:hAnsi="Arial"/>
          <w:b/>
          <w:bCs/>
          <w:color w:val="5B2D8E"/>
          <w:spacing w:val="30"/>
          <w:sz w:val="20"/>
          <w:szCs w:val="20"/>
        </w:rPr>
        <w:t xml:space="preserve">REFLECTION</w:t>
      </w:r>
    </w:p>
    <w:p>
      <w:pPr>
        <w:keepNext/>
        <w:spacing w:after="50" w:before="90" w:line="264"/>
      </w:pPr>
      <w:r>
        <w:rPr>
          <w:rFonts w:ascii="Arial" w:cs="Arial" w:eastAsia="Arial" w:hAnsi="Arial"/>
          <w:b/>
          <w:bCs/>
          <w:color w:val="FFFFFF"/>
          <w:sz w:val="17"/>
          <w:szCs w:val="17"/>
          <w:shd w:fill="2F7FC1" w:color="auto" w:val="clear"/>
        </w:rPr>
        <w:t xml:space="preserve"> SEEING </w:t>
      </w:r>
      <w:r>
        <w:rPr>
          <w:rFonts w:ascii="Arial" w:cs="Arial" w:eastAsia="Arial" w:hAnsi="Arial"/>
          <w:sz w:val="20"/>
          <w:szCs w:val="20"/>
        </w:rPr>
        <w:t xml:space="preserve">  Which party did you almost forget? Why?</w:t>
      </w:r>
    </w:p>
    <w:p>
      <w:pPr>
        <w:pBdr>
          <w:bottom w:val="single" w:color="C9CED4" w:sz="4" w:space="1"/>
        </w:pBdr>
        <w:spacing w:after="0" w:before="0" w:line="320" w:lineRule="exact"/>
        <w:ind w:right="0"/>
      </w:pPr>
      <w:r>
        <w:rPr>
          <w:rFonts w:ascii="Arial" w:cs="Arial" w:eastAsia="Arial" w:hAnsi="Arial"/>
          <w:sz w:val="21"/>
          <w:szCs w:val="21"/>
        </w:rPr>
        <w:t xml:space="preserve"/>
      </w:r>
    </w:p>
    <w:p>
      <w:pPr>
        <w:pBdr>
          <w:bottom w:val="single" w:color="C9CED4" w:sz="4" w:space="1"/>
        </w:pBdr>
        <w:spacing w:after="0" w:before="0" w:line="320" w:lineRule="exact"/>
        <w:ind w:right="2"/>
      </w:pPr>
      <w:r>
        <w:rPr>
          <w:rFonts w:ascii="Arial" w:cs="Arial" w:eastAsia="Arial" w:hAnsi="Arial"/>
          <w:sz w:val="21"/>
          <w:szCs w:val="21"/>
        </w:rPr>
        <w:t xml:space="preserve"/>
      </w:r>
    </w:p>
    <w:p>
      <w:pPr>
        <w:keepNext/>
        <w:spacing w:after="50" w:before="90" w:line="264"/>
      </w:pPr>
      <w:r>
        <w:rPr>
          <w:rFonts w:ascii="Arial" w:cs="Arial" w:eastAsia="Arial" w:hAnsi="Arial"/>
          <w:b/>
          <w:bCs/>
          <w:color w:val="FFFFFF"/>
          <w:sz w:val="17"/>
          <w:szCs w:val="17"/>
          <w:shd w:fill="D4537E" w:color="auto" w:val="clear"/>
        </w:rPr>
        <w:t xml:space="preserve"> WEIGHING </w:t>
      </w:r>
      <w:r>
        <w:rPr>
          <w:rFonts w:ascii="Arial" w:cs="Arial" w:eastAsia="Arial" w:hAnsi="Arial"/>
          <w:sz w:val="20"/>
          <w:szCs w:val="20"/>
        </w:rPr>
        <w:t xml:space="preserve">  Which principle weighed most heavily? What does that mean for your position?</w:t>
      </w:r>
    </w:p>
    <w:p>
      <w:pPr>
        <w:pBdr>
          <w:bottom w:val="single" w:color="C9CED4" w:sz="4" w:space="1"/>
        </w:pBdr>
        <w:spacing w:after="0" w:before="0" w:line="320" w:lineRule="exact"/>
        <w:ind w:right="0"/>
      </w:pPr>
      <w:r>
        <w:rPr>
          <w:rFonts w:ascii="Arial" w:cs="Arial" w:eastAsia="Arial" w:hAnsi="Arial"/>
          <w:sz w:val="21"/>
          <w:szCs w:val="21"/>
        </w:rPr>
        <w:t xml:space="preserve"/>
      </w:r>
    </w:p>
    <w:p>
      <w:pPr>
        <w:pBdr>
          <w:bottom w:val="single" w:color="C9CED4" w:sz="4" w:space="1"/>
        </w:pBdr>
        <w:spacing w:after="0" w:before="0" w:line="320" w:lineRule="exact"/>
        <w:ind w:right="2"/>
      </w:pPr>
      <w:r>
        <w:rPr>
          <w:rFonts w:ascii="Arial" w:cs="Arial" w:eastAsia="Arial" w:hAnsi="Arial"/>
          <w:sz w:val="21"/>
          <w:szCs w:val="21"/>
        </w:rPr>
        <w:t xml:space="preserve"/>
      </w:r>
    </w:p>
    <w:sectPr>
      <w:headerReference w:type="default" r:id="rId7"/>
      <w:footerReference w:type="default" r:id="rId8"/>
      <w:headerReference w:type="first" r:id="rId11"/>
      <w:footerReference w:type="first" r:id="rId12"/>
      <w:pgSz w:w="11906" w:h="16838" w:orient="portrait"/>
      <w:pgMar w:top="1250" w:right="1000" w:bottom="900" w:left="1000" w:header="500" w:footer="4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C5CC" w:sz="4" w:space="4"/>
      </w:pBdr>
      <w:spacing w:before="60"/>
    </w:pPr>
    <w:r>
      <w:rPr>
        <w:rFonts w:ascii="Arial" w:cs="Arial" w:eastAsia="Arial" w:hAnsi="Arial"/>
        <w:i/>
        <w:iCs/>
        <w:color w:val="5F5E5A"/>
        <w:sz w:val="14"/>
        <w:szCs w:val="14"/>
      </w:rPr>
      <w:t xml:space="preserve">Method based on: the ethical matrix (Mepham, 2000). Adaptation and case: Moral Craftsmanship, moralcraftsmanship.com. Licence: CC BY-SA 4.0 – https://creativecommons.org/licenses/by-sa/4.0/deed.en</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906"/>
      </w:tabs>
      <w:spacing w:after="60"/>
    </w:pPr>
    <w:r>
      <w:rPr>
        <w:rFonts w:ascii="Arial" w:cs="Arial" w:eastAsia="Arial" w:hAnsi="Arial"/>
        <w:b/>
        <w:bCs/>
        <w:color w:val="5F5E5A"/>
        <w:spacing w:val="20"/>
        <w:sz w:val="15"/>
        <w:szCs w:val="15"/>
      </w:rPr>
      <w:t xml:space="preserve">MORAL CRAFTSMANSHIP · RESEARCH GROUP ETHICAL PRACTICE · WORKSHEET</w:t>
    </w:r>
    <w:r>
      <w:rPr>
        <w:rFonts w:ascii="Arial" w:cs="Arial" w:eastAsia="Arial" w:hAnsi="Arial"/>
      </w:rPr>
      <w:tab/>
    </w:r>
    <w:r>
      <w:drawing>
        <wp:inline distT="0" distB="0" distL="0" distR="0">
          <wp:extent cx="838200" cy="476250"/>
          <wp:effectExtent t="0" r="0" b="0" l="0"/>
          <wp:docPr id="1" name="logo" descr="Fontys logo" title="Fonty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838200" cy="476250"/>
                  </a:xfrm>
                  <a:prstGeom prst="rect">
                    <a:avLst/>
                  </a:prstGeom>
                </pic:spPr>
              </pic:pic>
            </a:graphicData>
          </a:graphic>
        </wp:inline>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00" w:hanging="400"/>
      </w:pPr>
      <w:rPr>
        <w:rFonts w:ascii="Arial" w:cs="Arial" w:eastAsia="Arial" w:hAnsi="Arial"/>
        <w:b/>
        <w:bCs/>
        <w:color w:val="5B2D8E"/>
      </w:rPr>
    </w:lvl>
  </w:abstractNum>
  <w:abstractNum w:abstractNumId="3" w15:restartNumberingAfterBreak="0">
    <w:multiLevelType w:val="hybridMultilevel"/>
    <w:lvl w:ilvl="0" w15:tentative="1">
      <w:start w:val="1"/>
      <w:numFmt w:val="bullet"/>
      <w:lvlText w:val="•"/>
      <w:lvlJc w:val="left"/>
      <w:pPr>
        <w:ind w:left="360" w:hanging="260"/>
      </w:pPr>
      <w:rPr>
        <w:rFonts w:ascii="Arial" w:cs="Arial" w:eastAsia="Arial" w:hAnsi="Arial"/>
        <w:color w:val="5B2D8E"/>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256e13b167bf2e063987b7afa866477c4963c314.jpg"/><Relationship Id="rId10" Type="http://schemas.openxmlformats.org/officeDocument/2006/relationships/fontTable" Target="fontTable.xml"/><Relationship Id="rId11" Type="http://schemas.openxmlformats.org/officeDocument/2006/relationships/header" Target="header2.xml"/><Relationship Id="rId12" Type="http://schemas.openxmlformats.org/officeDocument/2006/relationships/footer" Target="footer2.xml"/></Relationships>
</file>

<file path=word/_rels/header1.xml.rels><?xml version='1.0' encoding='UTF-8' standalone='yes'?>
<Relationships xmlns="http://schemas.openxmlformats.org/package/2006/relationships"><Relationship Id="rId0" Type="http://schemas.openxmlformats.org/officeDocument/2006/relationships/image" Target="media/bf0743bdfa2aebd701f32a08f734a4287c2ee9cc.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MW10 The right to be offline (Higher education HRM, EN, student version)</dc:title>
  <dc:creator>Moreel Vakmanschap</dc:creator>
  <cp:lastModifiedBy>Moral Craftsmanship</cp:lastModifiedBy>
  <cp:revision>1</cp:revision>
  <dcterms:created xsi:type="dcterms:W3CDTF">2026-09-29T10:22:51.338Z</dcterms:created>
  <dcterms:modified xsi:type="dcterms:W3CDTF">2026-09-29T10:22:51.339Z</dcterms:modified>
  <dc:language>en-GB</dc:language>
</cp:coreProperties>
</file>

<file path=docProps/custom.xml><?xml version="1.0" encoding="utf-8"?>
<Properties xmlns="http://schemas.openxmlformats.org/officeDocument/2006/custom-properties" xmlns:vt="http://schemas.openxmlformats.org/officeDocument/2006/docPropsVTypes"/>
</file>