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9C46A" w:sz="24"/>
              <w:right w:val="none" w:color="FFFFFF" w:sz="0"/>
            </w:tcBorders>
            <w:shd w:fill="264653"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MW13 — VEIL OF IGNORANCE · HRM</w:t>
            </w:r>
          </w:p>
          <w:p>
            <w:pPr>
              <w:spacing w:after="40" w:line="250"/>
            </w:pPr>
            <w:r>
              <w:rPr>
                <w:rFonts w:ascii="Arial" w:cs="Arial" w:eastAsia="Arial" w:hAnsi="Arial"/>
                <w:b/>
                <w:bCs/>
                <w:color w:val="FFFFFF"/>
                <w:sz w:val="34"/>
                <w:szCs w:val="34"/>
              </w:rPr>
              <w:t xml:space="preserve">One rule for the whole region</w:t>
            </w:r>
          </w:p>
          <w:p>
            <w:pPr>
              <w:spacing w:after="0"/>
            </w:pPr>
            <w:r>
              <w:rPr>
                <w:rFonts w:ascii="Arial" w:cs="Arial" w:eastAsia="Arial" w:hAnsi="Arial"/>
                <w:color w:val="DDE6F0"/>
                <w:sz w:val="19"/>
                <w:szCs w:val="19"/>
              </w:rPr>
              <w:t xml:space="preserve">Case: the Maasvallei regional labour market board</w:t>
            </w:r>
          </w:p>
        </w:tc>
        <w:tc>
          <w:tcPr>
            <w:tcW w:type="dxa" w:w="2606"/>
            <w:tcBorders>
              <w:top w:val="none" w:color="FFFFFF" w:sz="0"/>
              <w:left w:val="none" w:color="FFFFFF" w:sz="0"/>
              <w:bottom w:val="single" w:color="E9C46A"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45 min     Group: 4–6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9C46A" w:sz="6"/>
              <w:left w:val="single" w:color="E9C46A" w:sz="6"/>
              <w:bottom w:val="single" w:color="E9C46A" w:sz="6"/>
              <w:right w:val="single" w:color="E9C46A"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6EEF0"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In the Maasvallei region, thousands of people work in distribution centres through temporary employment agencies. The regional labour market board wants to agree on one rule for the whole sector: who can count on a permanent contract after two years? Employers, agencies, the trade union and the municipality sit at the table and disagree.</w:t>
            </w:r>
          </w:p>
          <w:p>
            <w:pPr>
              <w:spacing w:after="100" w:line="288"/>
            </w:pPr>
            <w:r>
              <w:rPr>
                <w:rFonts w:ascii="Arial" w:cs="Arial" w:eastAsia="Arial" w:hAnsi="Arial"/>
                <w:sz w:val="21"/>
                <w:szCs w:val="21"/>
              </w:rPr>
              <w:t xml:space="preserve">Employers fear higher costs and less flexibility. Agencies fear losing work. The trade union wants security for everyone. The municipality is concerned about benefit payments when contracts end. No single organisation can solve this alone: what the board agrees applies to the whole region.</w:t>
            </w:r>
          </w:p>
          <w:p>
            <w:pPr>
              <w:spacing w:after="40" w:line="288"/>
            </w:pPr>
            <w:r>
              <w:rPr>
                <w:rFonts w:ascii="Arial" w:cs="Arial" w:eastAsia="Arial" w:hAnsi="Arial"/>
                <w:sz w:val="21"/>
                <w:szCs w:val="21"/>
              </w:rPr>
              <w:t xml:space="preserve">As an HR adviser, you sit on the working group that has to write the rule. The chair says: “Let’s write the rule as if we don’t know whether we will be the employer, the agency worker or the municipality.”</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Note down the four parties at the table. </w:t>
      </w:r>
      <w:r>
        <w:rPr>
          <w:rFonts w:ascii="Arial" w:cs="Arial" w:eastAsia="Arial" w:hAnsi="Arial"/>
          <w:i/>
          <w:iCs/>
          <w:color w:val="5F5E5A"/>
          <w:sz w:val="18"/>
          <w:szCs w:val="18"/>
        </w:rPr>
        <w:t xml:space="preserve">(3 min)</w:t>
      </w:r>
    </w:p>
    <w:p>
      <w:pPr>
        <w:pStyle w:val="ListParagraph"/>
        <w:numPr>
          <w:ilvl w:val="0"/>
          <w:numId w:val="2"/>
        </w:numPr>
        <w:spacing w:after="50" w:line="264"/>
      </w:pPr>
      <w:r>
        <w:rPr>
          <w:rFonts w:ascii="Arial" w:cs="Arial" w:eastAsia="Arial" w:hAnsi="Arial"/>
          <w:sz w:val="20"/>
          <w:szCs w:val="20"/>
        </w:rPr>
        <w:t xml:space="preserve">With your group, design a rule of no more than five points. You do not yet know which role you will get. </w:t>
      </w:r>
      <w:r>
        <w:rPr>
          <w:rFonts w:ascii="Arial" w:cs="Arial" w:eastAsia="Arial" w:hAnsi="Arial"/>
          <w:i/>
          <w:iCs/>
          <w:color w:val="5F5E5A"/>
          <w:sz w:val="18"/>
          <w:szCs w:val="18"/>
        </w:rPr>
        <w:t xml:space="preserve">(12 min)</w:t>
      </w:r>
    </w:p>
    <w:p>
      <w:pPr>
        <w:pStyle w:val="ListParagraph"/>
        <w:numPr>
          <w:ilvl w:val="0"/>
          <w:numId w:val="2"/>
        </w:numPr>
        <w:spacing w:after="50" w:line="264"/>
      </w:pPr>
      <w:r>
        <w:rPr>
          <w:rFonts w:ascii="Arial" w:cs="Arial" w:eastAsia="Arial" w:hAnsi="Arial"/>
          <w:sz w:val="20"/>
          <w:szCs w:val="20"/>
        </w:rPr>
        <w:t xml:space="preserve">Roll a die. The roll determines your role. </w:t>
      </w:r>
      <w:r>
        <w:rPr>
          <w:rFonts w:ascii="Arial" w:cs="Arial" w:eastAsia="Arial" w:hAnsi="Arial"/>
          <w:i/>
          <w:iCs/>
          <w:color w:val="5F5E5A"/>
          <w:sz w:val="18"/>
          <w:szCs w:val="18"/>
        </w:rPr>
        <w:t xml:space="preserve">(2 min)</w:t>
      </w:r>
    </w:p>
    <w:p>
      <w:pPr>
        <w:pStyle w:val="ListParagraph"/>
        <w:numPr>
          <w:ilvl w:val="0"/>
          <w:numId w:val="2"/>
        </w:numPr>
        <w:spacing w:after="50" w:line="264"/>
      </w:pPr>
      <w:r>
        <w:rPr>
          <w:rFonts w:ascii="Arial" w:cs="Arial" w:eastAsia="Arial" w:hAnsi="Arial"/>
          <w:sz w:val="20"/>
          <w:szCs w:val="20"/>
        </w:rPr>
        <w:t xml:space="preserve">Test the rule from your role. What do you consider fair? What do you change?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Rewrite the rule. Explain which principle you chose. </w:t>
      </w:r>
      <w:r>
        <w:rPr>
          <w:rFonts w:ascii="Arial" w:cs="Arial" w:eastAsia="Arial" w:hAnsi="Arial"/>
          <w:i/>
          <w:iCs/>
          <w:color w:val="5F5E5A"/>
          <w:sz w:val="18"/>
          <w:szCs w:val="18"/>
        </w:rPr>
        <w:t xml:space="preserve">(18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2 — OUR RULE (BEHIND THE VEIL)</w:t>
      </w:r>
    </w:p>
    <w:p>
      <w:pPr>
        <w:spacing w:after="0"/>
      </w:pPr>
      <w:r>
        <w:rPr>
          <w:rFonts w:ascii="Arial" w:cs="Arial" w:eastAsia="Arial" w:hAnsi="Arial"/>
          <w:b/>
          <w:bCs/>
          <w:sz w:val="20"/>
          <w:szCs w:val="20"/>
        </w:rPr>
        <w:t xml:space="preserve">Our rule in no more than five points: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pBdr>
          <w:bottom w:val="single" w:color="C9CED4" w:sz="4" w:space="1"/>
        </w:pBdr>
        <w:spacing w:after="0" w:before="0" w:line="340" w:lineRule="exact"/>
        <w:ind w:right="6"/>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STEP 3 — MY ROLE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8606"/>
      </w:tblGrid>
      <w:tr>
        <w:trPr>
          <w:tblHeader/>
        </w:trPr>
        <w:tc>
          <w:tcPr>
            <w:tcW w:type="dxa" w:w="1300"/>
            <w:tcBorders>
              <w:top w:val="single" w:color="BFC5CC" w:sz="4"/>
              <w:left w:val="single" w:color="BFC5CC" w:sz="4"/>
              <w:bottom w:val="single" w:color="BFC5CC" w:sz="4"/>
              <w:right w:val="single" w:color="BFC5CC" w:sz="4"/>
            </w:tcBorders>
            <w:shd w:fill="264653"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Roll</w:t>
            </w:r>
          </w:p>
        </w:tc>
        <w:tc>
          <w:tcPr>
            <w:tcW w:type="dxa" w:w="8606"/>
            <w:tcBorders>
              <w:top w:val="single" w:color="BFC5CC" w:sz="4"/>
              <w:left w:val="single" w:color="BFC5CC" w:sz="4"/>
              <w:bottom w:val="single" w:color="BFC5CC" w:sz="4"/>
              <w:right w:val="single" w:color="BFC5CC" w:sz="4"/>
            </w:tcBorders>
            <w:shd w:fill="264653"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Role</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1</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Agency worker (28) with a young family, two years in the job</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2</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Agency worker (58), hard to redeploy</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3</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Owner of a small distribution centre</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4</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Manager of a large distribution centre</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5</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Owner of a temporary employment agency</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6</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Local councillor for social affairs</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4 — TEST FROM MY ROLE</w:t>
      </w:r>
    </w:p>
    <w:p>
      <w:pPr>
        <w:spacing w:after="0"/>
      </w:pPr>
      <w:r>
        <w:rPr>
          <w:rFonts w:ascii="Arial" w:cs="Arial" w:eastAsia="Arial" w:hAnsi="Arial"/>
          <w:b/>
          <w:bCs/>
          <w:sz w:val="20"/>
          <w:szCs w:val="20"/>
        </w:rPr>
        <w:t xml:space="preserve">In this role, what do I find fair or unfair about the rule? What do I change?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How did your judgement change once you knew your role? Which principle did you choose, for example equal opportunities or protection of the weakest, and why?</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the veil of ignorance (Rawls, 1971).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f552af059d4c3f2dfd8406d6451fa6b2ff2c3a.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MW13 One rule for the whole region (Higher education HRM, EN, student version)</dc:title>
  <dc:creator>Moreel Vakmanschap</dc:creator>
  <cp:lastModifiedBy>Moral Craftsmanship</cp:lastModifiedBy>
  <cp:revision>1</cp:revision>
  <dcterms:created xsi:type="dcterms:W3CDTF">2026-09-29T10:04:58.597Z</dcterms:created>
  <dcterms:modified xsi:type="dcterms:W3CDTF">2026-09-29T10:04:58.597Z</dcterms:modified>
  <dc:language>en-GB</dc:language>
</cp:coreProperties>
</file>

<file path=docProps/custom.xml><?xml version="1.0" encoding="utf-8"?>
<Properties xmlns="http://schemas.openxmlformats.org/officeDocument/2006/custom-properties" xmlns:vt="http://schemas.openxmlformats.org/officeDocument/2006/docPropsVTypes"/>
</file>