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F0A868" w:sz="24"/>
              <w:right w:val="none" w:color="FFFFFF" w:sz="0"/>
            </w:tcBorders>
            <w:shd w:fill="5C6784"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TEACHER VERSION · MW15</w:t>
            </w:r>
          </w:p>
          <w:p>
            <w:pPr>
              <w:spacing w:after="40" w:line="250"/>
            </w:pPr>
            <w:r>
              <w:rPr>
                <w:rFonts w:ascii="Arial" w:cs="Arial" w:eastAsia="Arial" w:hAnsi="Arial"/>
                <w:b/>
                <w:bCs/>
                <w:color w:val="FFFFFF"/>
                <w:sz w:val="34"/>
                <w:szCs w:val="34"/>
              </w:rPr>
              <w:t xml:space="preserve">The activity monitor</w:t>
            </w:r>
          </w:p>
          <w:p>
            <w:pPr>
              <w:spacing w:after="0"/>
            </w:pPr>
            <w:r>
              <w:rPr>
                <w:rFonts w:ascii="Arial" w:cs="Arial" w:eastAsia="Arial" w:hAnsi="Arial"/>
                <w:color w:val="DDE6F0"/>
                <w:sz w:val="19"/>
                <w:szCs w:val="19"/>
              </w:rPr>
              <w:t xml:space="preserve">Higher education (UAS) · HRM · English · accompanies the 2-page student version</w:t>
            </w:r>
          </w:p>
        </w:tc>
        <w:tc>
          <w:tcPr>
            <w:tcW w:type="dxa" w:w="2606"/>
            <w:tcBorders>
              <w:top w:val="none" w:color="FFFFFF" w:sz="0"/>
              <w:left w:val="none" w:color="FFFFFF" w:sz="0"/>
              <w:bottom w:val="single" w:color="F0A868"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COMPLEXITY</w:t>
            </w:r>
          </w:p>
          <w:p>
            <w:pPr>
              <w:spacing w:after="0"/>
              <w:jc w:val="center"/>
            </w:pPr>
            <w:r>
              <w:rPr>
                <w:rFonts w:ascii="Arial" w:cs="Arial" w:eastAsia="Arial" w:hAnsi="Arial"/>
                <w:b/>
                <w:bCs/>
                <w:color w:val="FFFFFF"/>
                <w:sz w:val="26"/>
                <w:szCs w:val="26"/>
              </w:rPr>
              <w:t xml:space="preserve">MESO ★★☆</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LEARNING OUTCOMES</w:t>
      </w:r>
    </w:p>
    <w:p>
      <w:pPr>
        <w:pStyle w:val="ListParagraph"/>
        <w:numPr>
          <w:ilvl w:val="0"/>
          <w:numId w:val="2"/>
        </w:numPr>
        <w:spacing w:after="40" w:line="260"/>
      </w:pPr>
      <w:r>
        <w:rPr>
          <w:rFonts w:ascii="Arial" w:cs="Arial" w:eastAsia="Arial" w:hAnsi="Arial"/>
          <w:sz w:val="19"/>
          <w:szCs w:val="19"/>
        </w:rPr>
        <w:t xml:space="preserve">The student can describe a technology in its context of use. (Seeing)</w:t>
      </w:r>
    </w:p>
    <w:p>
      <w:pPr>
        <w:pStyle w:val="ListParagraph"/>
        <w:numPr>
          <w:ilvl w:val="0"/>
          <w:numId w:val="2"/>
        </w:numPr>
        <w:spacing w:after="40" w:line="260"/>
      </w:pPr>
      <w:r>
        <w:rPr>
          <w:rFonts w:ascii="Arial" w:cs="Arial" w:eastAsia="Arial" w:hAnsi="Arial"/>
          <w:sz w:val="19"/>
          <w:szCs w:val="19"/>
        </w:rPr>
        <w:t xml:space="preserve">The student can map effects and values for each person involved. (Weighing)</w:t>
      </w:r>
    </w:p>
    <w:p>
      <w:pPr>
        <w:pStyle w:val="ListParagraph"/>
        <w:numPr>
          <w:ilvl w:val="0"/>
          <w:numId w:val="2"/>
        </w:numPr>
        <w:spacing w:after="40" w:line="260"/>
      </w:pPr>
      <w:r>
        <w:rPr>
          <w:rFonts w:ascii="Arial" w:cs="Arial" w:eastAsia="Arial" w:hAnsi="Arial"/>
          <w:sz w:val="19"/>
          <w:szCs w:val="19"/>
        </w:rPr>
        <w:t xml:space="preserve">The student can come up with options for action for technology, environment and user. (Acting)</w:t>
      </w:r>
    </w:p>
    <w:p>
      <w:pPr>
        <w:keepNext/>
        <w:pBdr>
          <w:bottom w:val="single" w:color="5B2D8E" w:sz="8" w:space="2"/>
        </w:pBdr>
        <w:spacing w:after="90" w:before="200"/>
      </w:pPr>
      <w:r>
        <w:rPr>
          <w:rFonts w:ascii="Arial" w:cs="Arial" w:eastAsia="Arial" w:hAnsi="Arial"/>
          <w:b/>
          <w:bCs/>
          <w:color w:val="5B2D8E"/>
          <w:spacing w:val="30"/>
          <w:sz w:val="20"/>
          <w:szCs w:val="20"/>
        </w:rPr>
        <w:t xml:space="preserve">COMPLEXITY: WHY MESO?</w:t>
      </w:r>
    </w:p>
    <w:p>
      <w:pPr>
        <w:spacing w:after="50" w:line="264"/>
      </w:pPr>
      <w:r>
        <w:rPr>
          <w:rFonts w:ascii="Arial" w:cs="Arial" w:eastAsia="Arial" w:hAnsi="Arial"/>
          <w:i/>
          <w:iCs/>
          <w:sz w:val="19"/>
          <w:szCs w:val="19"/>
        </w:rPr>
        <w:t xml:space="preserve">Meso: the HR adviser weighs management’s wish for insight against the autonomy and trust of employees, within the culture and rules of the company.</w:t>
      </w:r>
    </w:p>
    <w:p>
      <w:pPr>
        <w:pStyle w:val="ListParagraph"/>
        <w:numPr>
          <w:ilvl w:val="0"/>
          <w:numId w:val="2"/>
        </w:numPr>
        <w:spacing w:after="40" w:line="260"/>
      </w:pPr>
      <w:r>
        <w:rPr>
          <w:rFonts w:ascii="Arial" w:cs="Arial" w:eastAsia="Arial" w:hAnsi="Arial"/>
          <w:b/>
          <w:bCs/>
          <w:sz w:val="19"/>
          <w:szCs w:val="19"/>
        </w:rPr>
        <w:t xml:space="preserve">Test: </w:t>
      </w:r>
      <w:r>
        <w:rPr>
          <w:rFonts w:ascii="Arial" w:cs="Arial" w:eastAsia="Arial" w:hAnsi="Arial"/>
          <w:sz w:val="19"/>
          <w:szCs w:val="19"/>
        </w:rPr>
        <w:t xml:space="preserve">“Who or what would have to change for this dilemma to disappear?” Answer: the way the company measures and discusses productivity. That is Meso.</w:t>
      </w:r>
    </w:p>
    <w:p>
      <w:pPr>
        <w:pStyle w:val="ListParagraph"/>
        <w:numPr>
          <w:ilvl w:val="0"/>
          <w:numId w:val="2"/>
        </w:numPr>
        <w:spacing w:after="40" w:line="260"/>
      </w:pPr>
      <w:r>
        <w:rPr>
          <w:rFonts w:ascii="Arial" w:cs="Arial" w:eastAsia="Arial" w:hAnsi="Arial"/>
          <w:b/>
          <w:bCs/>
          <w:sz w:val="19"/>
          <w:szCs w:val="19"/>
        </w:rPr>
        <w:t xml:space="preserve">Not Micro: </w:t>
      </w:r>
      <w:r>
        <w:rPr>
          <w:rFonts w:ascii="Arial" w:cs="Arial" w:eastAsia="Arial" w:hAnsi="Arial"/>
          <w:sz w:val="19"/>
          <w:szCs w:val="19"/>
        </w:rPr>
        <w:t xml:space="preserve">management, managers and employees play a significant role (decision rule 2).</w:t>
      </w:r>
    </w:p>
    <w:p>
      <w:pPr>
        <w:pStyle w:val="ListParagraph"/>
        <w:numPr>
          <w:ilvl w:val="0"/>
          <w:numId w:val="2"/>
        </w:numPr>
        <w:spacing w:after="40" w:line="260"/>
      </w:pPr>
      <w:r>
        <w:rPr>
          <w:rFonts w:ascii="Arial" w:cs="Arial" w:eastAsia="Arial" w:hAnsi="Arial"/>
          <w:b/>
          <w:bCs/>
          <w:sz w:val="19"/>
          <w:szCs w:val="19"/>
        </w:rPr>
        <w:t xml:space="preserve">Not Macro: </w:t>
      </w:r>
      <w:r>
        <w:rPr>
          <w:rFonts w:ascii="Arial" w:cs="Arial" w:eastAsia="Arial" w:hAnsi="Arial"/>
          <w:sz w:val="19"/>
          <w:szCs w:val="19"/>
        </w:rPr>
        <w:t xml:space="preserve">privacy rules are in the background, but the core is company practice (decision rule 3).</w:t>
      </w:r>
    </w:p>
    <w:p>
      <w:pPr>
        <w:keepNext/>
        <w:pBdr>
          <w:bottom w:val="single" w:color="5B2D8E" w:sz="8" w:space="2"/>
        </w:pBdr>
        <w:spacing w:after="90" w:before="200"/>
      </w:pPr>
      <w:r>
        <w:rPr>
          <w:rFonts w:ascii="Arial" w:cs="Arial" w:eastAsia="Arial" w:hAnsi="Arial"/>
          <w:b/>
          <w:bCs/>
          <w:color w:val="5B2D8E"/>
          <w:spacing w:val="30"/>
          <w:sz w:val="20"/>
          <w:szCs w:val="20"/>
        </w:rPr>
        <w:t xml:space="preserve">PREPARATION AND PROCEDURE</w:t>
      </w:r>
    </w:p>
    <w:p>
      <w:pPr>
        <w:pStyle w:val="ListParagraph"/>
        <w:numPr>
          <w:ilvl w:val="0"/>
          <w:numId w:val="2"/>
        </w:numPr>
        <w:spacing w:after="40" w:line="260"/>
      </w:pPr>
      <w:r>
        <w:rPr>
          <w:rFonts w:ascii="Arial" w:cs="Arial" w:eastAsia="Arial" w:hAnsi="Arial"/>
          <w:b/>
          <w:bCs/>
          <w:sz w:val="19"/>
          <w:szCs w:val="19"/>
        </w:rPr>
        <w:t xml:space="preserve">Materials: </w:t>
      </w:r>
      <w:r>
        <w:rPr>
          <w:rFonts w:ascii="Arial" w:cs="Arial" w:eastAsia="Arial" w:hAnsi="Arial"/>
          <w:sz w:val="19"/>
          <w:szCs w:val="19"/>
        </w:rPr>
        <w:t xml:space="preserve">student version printed double-sided, pens, timer. Groups of 4–6. Allow 100 minutes; the full approach takes 2–3 hours and is easy to split over two lessons (phases 1–2 and phase 3).</w:t>
      </w:r>
    </w:p>
    <w:p>
      <w:pPr>
        <w:pStyle w:val="ListParagraph"/>
        <w:numPr>
          <w:ilvl w:val="0"/>
          <w:numId w:val="2"/>
        </w:numPr>
        <w:spacing w:after="40" w:line="260"/>
      </w:pPr>
      <w:r>
        <w:rPr>
          <w:rFonts w:ascii="Arial" w:cs="Arial" w:eastAsia="Arial" w:hAnsi="Arial"/>
          <w:b/>
          <w:bCs/>
          <w:sz w:val="19"/>
          <w:szCs w:val="19"/>
        </w:rPr>
        <w:t xml:space="preserve">Role of the facilitator: </w:t>
      </w:r>
      <w:r>
        <w:rPr>
          <w:rFonts w:ascii="Arial" w:cs="Arial" w:eastAsia="Arial" w:hAnsi="Arial"/>
          <w:sz w:val="19"/>
          <w:szCs w:val="19"/>
        </w:rPr>
        <w:t xml:space="preserve">in phase 2, have students also name the role of the technology itself: how does the software change what people do? Ask about values, not opinions.</w:t>
      </w:r>
    </w:p>
    <w:p>
      <w:pPr>
        <w:pStyle w:val="ListParagraph"/>
        <w:numPr>
          <w:ilvl w:val="0"/>
          <w:numId w:val="2"/>
        </w:numPr>
        <w:spacing w:after="40" w:line="260"/>
      </w:pPr>
      <w:r>
        <w:rPr>
          <w:rFonts w:ascii="Arial" w:cs="Arial" w:eastAsia="Arial" w:hAnsi="Arial"/>
          <w:b/>
          <w:bCs/>
          <w:sz w:val="19"/>
          <w:szCs w:val="19"/>
        </w:rPr>
        <w:t xml:space="preserve">Source and licence: </w:t>
      </w:r>
      <w:r>
        <w:rPr>
          <w:rFonts w:ascii="Arial" w:cs="Arial" w:eastAsia="Arial" w:hAnsi="Arial"/>
          <w:sz w:val="19"/>
          <w:szCs w:val="19"/>
        </w:rPr>
        <w:t xml:space="preserve">the three phases have been worked out in our own words after Verbeek and Tijink (2019). The licence of the ECP publication has not been established, so nothing has been copied literally. Check with ECP before using more than the steps.</w:t>
      </w:r>
    </w:p>
    <w:p>
      <w:pPr>
        <w:keepNext/>
        <w:pBdr>
          <w:bottom w:val="single" w:color="5B2D8E" w:sz="8" w:space="2"/>
        </w:pBdr>
        <w:spacing w:after="90" w:before="200"/>
      </w:pPr>
      <w:r>
        <w:rPr>
          <w:rFonts w:ascii="Arial" w:cs="Arial" w:eastAsia="Arial" w:hAnsi="Arial"/>
          <w:b/>
          <w:bCs/>
          <w:color w:val="5B2D8E"/>
          <w:spacing w:val="30"/>
          <w:sz w:val="20"/>
          <w:szCs w:val="20"/>
        </w:rPr>
        <w:t xml:space="preserve">PITFALLS</w:t>
      </w:r>
    </w:p>
    <w:p>
      <w:pPr>
        <w:pStyle w:val="ListParagraph"/>
        <w:numPr>
          <w:ilvl w:val="0"/>
          <w:numId w:val="2"/>
        </w:numPr>
        <w:spacing w:after="40" w:line="260"/>
      </w:pPr>
      <w:r>
        <w:rPr>
          <w:rFonts w:ascii="Arial" w:cs="Arial" w:eastAsia="Arial" w:hAnsi="Arial"/>
          <w:sz w:val="19"/>
          <w:szCs w:val="19"/>
        </w:rPr>
        <w:t xml:space="preserve">Students immediately choose “ban the software”. Ask about options for technology, environment and user.</w:t>
      </w:r>
    </w:p>
    <w:p>
      <w:pPr>
        <w:pStyle w:val="ListParagraph"/>
        <w:numPr>
          <w:ilvl w:val="0"/>
          <w:numId w:val="2"/>
        </w:numPr>
        <w:spacing w:after="40" w:line="260"/>
      </w:pPr>
      <w:r>
        <w:rPr>
          <w:rFonts w:ascii="Arial" w:cs="Arial" w:eastAsia="Arial" w:hAnsi="Arial"/>
          <w:sz w:val="19"/>
          <w:szCs w:val="19"/>
        </w:rPr>
        <w:t xml:space="preserve">Phase 1 is skipped. Have students first describe what the software does in practice.</w:t>
      </w:r>
    </w:p>
    <w:p>
      <w:pPr>
        <w:pStyle w:val="ListParagraph"/>
        <w:numPr>
          <w:ilvl w:val="0"/>
          <w:numId w:val="2"/>
        </w:numPr>
        <w:spacing w:after="40" w:line="260"/>
      </w:pPr>
      <w:r>
        <w:rPr>
          <w:rFonts w:ascii="Arial" w:cs="Arial" w:eastAsia="Arial" w:hAnsi="Arial"/>
          <w:sz w:val="19"/>
          <w:szCs w:val="19"/>
        </w:rPr>
        <w:t xml:space="preserve">Values remain general. Ask: “Which value is concretely at stake here?”</w:t>
      </w:r>
    </w:p>
    <w:p>
      <w:pPr>
        <w:keepNext/>
        <w:pageBreakBefore/>
        <w:pBdr>
          <w:bottom w:val="single" w:color="5B2D8E" w:sz="8" w:space="2"/>
        </w:pBdr>
        <w:spacing w:after="90" w:before="200"/>
      </w:pPr>
      <w:r>
        <w:rPr>
          <w:rFonts w:ascii="Arial" w:cs="Arial" w:eastAsia="Arial" w:hAnsi="Arial"/>
          <w:b/>
          <w:bCs/>
          <w:color w:val="5B2D8E"/>
          <w:spacing w:val="30"/>
          <w:sz w:val="20"/>
          <w:szCs w:val="20"/>
        </w:rPr>
        <w:t xml:space="preserve">EXAMPLES OF OPTIONS FOR ACTION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c>
          <w:tcPr>
            <w:tcW w:type="dxa" w:w="3000"/>
            <w:tcBorders>
              <w:top w:val="single" w:color="BFC5CC" w:sz="4"/>
              <w:left w:val="single" w:color="BFC5CC" w:sz="4"/>
              <w:bottom w:val="single" w:color="BFC5CC" w:sz="4"/>
              <w:right w:val="single" w:color="BFC5CC" w:sz="4"/>
            </w:tcBorders>
            <w:shd w:fill="5C6784" w:color="auto" w:val="clear"/>
            <w:tcMar>
              <w:top w:type="dxa" w:w="60"/>
              <w:left w:type="dxa" w:w="100"/>
              <w:bottom w:type="dxa" w:w="60"/>
              <w:right w:type="dxa" w:w="100"/>
            </w:tcMar>
          </w:tcPr>
          <w:p>
            <w:pPr>
              <w:spacing w:after="20" w:line="232"/>
            </w:pPr>
            <w:r>
              <w:rPr>
                <w:rFonts w:ascii="Arial" w:cs="Arial" w:eastAsia="Arial" w:hAnsi="Arial"/>
                <w:b/>
                <w:bCs/>
                <w:color w:val="FFFFFF"/>
                <w:sz w:val="17"/>
                <w:szCs w:val="17"/>
              </w:rPr>
              <w:t xml:space="preserve">Direction</w:t>
            </w:r>
          </w:p>
        </w:tc>
        <w:tc>
          <w:tcPr>
            <w:tcW w:type="dxa" w:w="6906"/>
            <w:tcBorders>
              <w:top w:val="single" w:color="BFC5CC" w:sz="4"/>
              <w:left w:val="single" w:color="BFC5CC" w:sz="4"/>
              <w:bottom w:val="single" w:color="BFC5CC" w:sz="4"/>
              <w:right w:val="single" w:color="BFC5CC" w:sz="4"/>
            </w:tcBorders>
            <w:shd w:fill="5C6784" w:color="auto" w:val="clear"/>
            <w:tcMar>
              <w:top w:type="dxa" w:w="60"/>
              <w:left w:type="dxa" w:w="100"/>
              <w:bottom w:type="dxa" w:w="60"/>
              <w:right w:type="dxa" w:w="100"/>
            </w:tcMar>
          </w:tcPr>
          <w:p>
            <w:pPr>
              <w:spacing w:after="20" w:line="232"/>
            </w:pPr>
            <w:r>
              <w:rPr>
                <w:rFonts w:ascii="Arial" w:cs="Arial" w:eastAsia="Arial" w:hAnsi="Arial"/>
                <w:b/>
                <w:bCs/>
                <w:color w:val="FFFFFF"/>
                <w:sz w:val="17"/>
                <w:szCs w:val="17"/>
              </w:rPr>
              <w:t xml:space="preserve">Example</w:t>
            </w:r>
          </w:p>
        </w:tc>
      </w:tr>
      <w:tr>
        <w:tc>
          <w:tcPr>
            <w:tcW w:type="dxa" w:w="3000"/>
            <w:tcBorders>
              <w:top w:val="single" w:color="BFC5CC" w:sz="4"/>
              <w:left w:val="single" w:color="BFC5CC" w:sz="4"/>
              <w:bottom w:val="single" w:color="BFC5CC" w:sz="4"/>
              <w:right w:val="single" w:color="BFC5CC" w:sz="4"/>
            </w:tcBorders>
            <w:shd w:fill="ECEEF3" w:color="auto" w:val="clear"/>
            <w:tcMar>
              <w:top w:type="dxa" w:w="60"/>
              <w:left w:type="dxa" w:w="100"/>
              <w:bottom w:type="dxa" w:w="60"/>
              <w:right w:type="dxa" w:w="100"/>
            </w:tcMar>
          </w:tcPr>
          <w:p>
            <w:pPr>
              <w:spacing w:after="20" w:line="232"/>
            </w:pPr>
            <w:r>
              <w:rPr>
                <w:rFonts w:ascii="Arial" w:cs="Arial" w:eastAsia="Arial" w:hAnsi="Arial"/>
                <w:b/>
                <w:bCs/>
                <w:color w:val="5C6784"/>
                <w:sz w:val="17"/>
                <w:szCs w:val="17"/>
              </w:rPr>
              <w:t xml:space="preserve">Technology</w:t>
            </w:r>
          </w:p>
        </w:tc>
        <w:tc>
          <w:tcPr>
            <w:tcW w:type="dxa" w:w="69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line="232"/>
            </w:pPr>
            <w:r>
              <w:rPr>
                <w:rFonts w:ascii="Arial" w:cs="Arial" w:eastAsia="Arial" w:hAnsi="Arial"/>
                <w:sz w:val="17"/>
                <w:szCs w:val="17"/>
              </w:rPr>
              <w:t xml:space="preserve">Show only team averages; do not record keystrokes; employees see their own data.</w:t>
            </w:r>
          </w:p>
        </w:tc>
      </w:tr>
      <w:tr>
        <w:tc>
          <w:tcPr>
            <w:tcW w:type="dxa" w:w="3000"/>
            <w:tcBorders>
              <w:top w:val="single" w:color="BFC5CC" w:sz="4"/>
              <w:left w:val="single" w:color="BFC5CC" w:sz="4"/>
              <w:bottom w:val="single" w:color="BFC5CC" w:sz="4"/>
              <w:right w:val="single" w:color="BFC5CC" w:sz="4"/>
            </w:tcBorders>
            <w:shd w:fill="ECEEF3" w:color="auto" w:val="clear"/>
            <w:tcMar>
              <w:top w:type="dxa" w:w="60"/>
              <w:left w:type="dxa" w:w="100"/>
              <w:bottom w:type="dxa" w:w="60"/>
              <w:right w:type="dxa" w:w="100"/>
            </w:tcMar>
          </w:tcPr>
          <w:p>
            <w:pPr>
              <w:spacing w:after="20" w:line="232"/>
            </w:pPr>
            <w:r>
              <w:rPr>
                <w:rFonts w:ascii="Arial" w:cs="Arial" w:eastAsia="Arial" w:hAnsi="Arial"/>
                <w:b/>
                <w:bCs/>
                <w:color w:val="5C6784"/>
                <w:sz w:val="17"/>
                <w:szCs w:val="17"/>
              </w:rPr>
              <w:t xml:space="preserve">Environment</w:t>
            </w:r>
          </w:p>
        </w:tc>
        <w:tc>
          <w:tcPr>
            <w:tcW w:type="dxa" w:w="69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line="232"/>
            </w:pPr>
            <w:r>
              <w:rPr>
                <w:rFonts w:ascii="Arial" w:cs="Arial" w:eastAsia="Arial" w:hAnsi="Arial"/>
                <w:sz w:val="17"/>
                <w:szCs w:val="17"/>
              </w:rPr>
              <w:t xml:space="preserve">Agreements on purpose and retention period; involve the employee council; evaluation after three months.</w:t>
            </w:r>
          </w:p>
        </w:tc>
      </w:tr>
      <w:tr>
        <w:tc>
          <w:tcPr>
            <w:tcW w:type="dxa" w:w="3000"/>
            <w:tcBorders>
              <w:top w:val="single" w:color="BFC5CC" w:sz="4"/>
              <w:left w:val="single" w:color="BFC5CC" w:sz="4"/>
              <w:bottom w:val="single" w:color="BFC5CC" w:sz="4"/>
              <w:right w:val="single" w:color="BFC5CC" w:sz="4"/>
            </w:tcBorders>
            <w:shd w:fill="ECEEF3" w:color="auto" w:val="clear"/>
            <w:tcMar>
              <w:top w:type="dxa" w:w="60"/>
              <w:left w:type="dxa" w:w="100"/>
              <w:bottom w:type="dxa" w:w="60"/>
              <w:right w:type="dxa" w:w="100"/>
            </w:tcMar>
          </w:tcPr>
          <w:p>
            <w:pPr>
              <w:spacing w:after="20" w:line="232"/>
            </w:pPr>
            <w:r>
              <w:rPr>
                <w:rFonts w:ascii="Arial" w:cs="Arial" w:eastAsia="Arial" w:hAnsi="Arial"/>
                <w:b/>
                <w:bCs/>
                <w:color w:val="5C6784"/>
                <w:sz w:val="17"/>
                <w:szCs w:val="17"/>
              </w:rPr>
              <w:t xml:space="preserve">User</w:t>
            </w:r>
          </w:p>
        </w:tc>
        <w:tc>
          <w:tcPr>
            <w:tcW w:type="dxa" w:w="69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line="232"/>
            </w:pPr>
            <w:r>
              <w:rPr>
                <w:rFonts w:ascii="Arial" w:cs="Arial" w:eastAsia="Arial" w:hAnsi="Arial"/>
                <w:sz w:val="17"/>
                <w:szCs w:val="17"/>
              </w:rPr>
              <w:t xml:space="preserve">Employees receive an explanation and can object; managers are trained in conversations about results.</w:t>
            </w:r>
          </w:p>
        </w:tc>
      </w:tr>
      <w:tr>
        <w:tc>
          <w:tcPr>
            <w:tcW w:type="dxa" w:w="3000"/>
            <w:tcBorders>
              <w:top w:val="single" w:color="BFC5CC" w:sz="4"/>
              <w:left w:val="single" w:color="BFC5CC" w:sz="4"/>
              <w:bottom w:val="single" w:color="BFC5CC" w:sz="4"/>
              <w:right w:val="single" w:color="BFC5CC" w:sz="4"/>
            </w:tcBorders>
            <w:shd w:fill="ECEEF3" w:color="auto" w:val="clear"/>
            <w:tcMar>
              <w:top w:type="dxa" w:w="60"/>
              <w:left w:type="dxa" w:w="100"/>
              <w:bottom w:type="dxa" w:w="60"/>
              <w:right w:type="dxa" w:w="100"/>
            </w:tcMar>
          </w:tcPr>
          <w:p>
            <w:pPr>
              <w:spacing w:after="20" w:line="232"/>
            </w:pPr>
            <w:r>
              <w:rPr>
                <w:rFonts w:ascii="Arial" w:cs="Arial" w:eastAsia="Arial" w:hAnsi="Arial"/>
                <w:b/>
                <w:bCs/>
                <w:color w:val="5C6784"/>
                <w:sz w:val="17"/>
                <w:szCs w:val="17"/>
              </w:rPr>
              <w:t xml:space="preserve">Combination</w:t>
            </w:r>
          </w:p>
        </w:tc>
        <w:tc>
          <w:tcPr>
            <w:tcW w:type="dxa" w:w="69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line="232"/>
            </w:pPr>
            <w:r>
              <w:rPr>
                <w:rFonts w:ascii="Arial" w:cs="Arial" w:eastAsia="Arial" w:hAnsi="Arial"/>
                <w:sz w:val="17"/>
                <w:szCs w:val="17"/>
              </w:rPr>
              <w:t xml:space="preserve">Measure outcomes (work delivered) instead of presence.</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VARIATIONS AND DIFFERENTIATION</w:t>
      </w:r>
    </w:p>
    <w:p>
      <w:pPr>
        <w:pStyle w:val="ListParagraph"/>
        <w:numPr>
          <w:ilvl w:val="0"/>
          <w:numId w:val="2"/>
        </w:numPr>
        <w:spacing w:after="40" w:line="260"/>
      </w:pPr>
      <w:r>
        <w:rPr>
          <w:rFonts w:ascii="Arial" w:cs="Arial" w:eastAsia="Arial" w:hAnsi="Arial"/>
          <w:b/>
          <w:bCs/>
          <w:sz w:val="19"/>
          <w:szCs w:val="19"/>
        </w:rPr>
        <w:t xml:space="preserve">Shorter (60 min): </w:t>
      </w:r>
      <w:r>
        <w:rPr>
          <w:rFonts w:ascii="Arial" w:cs="Arial" w:eastAsia="Arial" w:hAnsi="Arial"/>
          <w:sz w:val="19"/>
          <w:szCs w:val="19"/>
        </w:rPr>
        <w:t xml:space="preserve">work with phases 1 and 3 and skip the table of phase 2.</w:t>
      </w:r>
    </w:p>
    <w:p>
      <w:pPr>
        <w:pStyle w:val="ListParagraph"/>
        <w:numPr>
          <w:ilvl w:val="0"/>
          <w:numId w:val="2"/>
        </w:numPr>
        <w:spacing w:after="40" w:line="260"/>
      </w:pPr>
      <w:r>
        <w:rPr>
          <w:rFonts w:ascii="Arial" w:cs="Arial" w:eastAsia="Arial" w:hAnsi="Arial"/>
          <w:b/>
          <w:bCs/>
          <w:sz w:val="19"/>
          <w:szCs w:val="19"/>
        </w:rPr>
        <w:t xml:space="preserve">Online: </w:t>
      </w:r>
      <w:r>
        <w:rPr>
          <w:rFonts w:ascii="Arial" w:cs="Arial" w:eastAsia="Arial" w:hAnsi="Arial"/>
          <w:sz w:val="19"/>
          <w:szCs w:val="19"/>
        </w:rPr>
        <w:t xml:space="preserve">use a shared board with three phases.</w:t>
      </w:r>
    </w:p>
    <w:p>
      <w:pPr>
        <w:pStyle w:val="ListParagraph"/>
        <w:numPr>
          <w:ilvl w:val="0"/>
          <w:numId w:val="2"/>
        </w:numPr>
        <w:spacing w:after="40" w:line="260"/>
      </w:pPr>
      <w:r>
        <w:rPr>
          <w:rFonts w:ascii="Arial" w:cs="Arial" w:eastAsia="Arial" w:hAnsi="Arial"/>
          <w:b/>
          <w:bCs/>
          <w:sz w:val="19"/>
          <w:szCs w:val="19"/>
        </w:rPr>
        <w:t xml:space="preserve">Large group: </w:t>
      </w:r>
      <w:r>
        <w:rPr>
          <w:rFonts w:ascii="Arial" w:cs="Arial" w:eastAsia="Arial" w:hAnsi="Arial"/>
          <w:sz w:val="19"/>
          <w:szCs w:val="19"/>
        </w:rPr>
        <w:t xml:space="preserve">let groups each work out one phase and combine in plenary.</w:t>
      </w:r>
    </w:p>
    <w:p>
      <w:pPr>
        <w:pStyle w:val="ListParagraph"/>
        <w:numPr>
          <w:ilvl w:val="0"/>
          <w:numId w:val="2"/>
        </w:numPr>
        <w:spacing w:after="40" w:line="260"/>
      </w:pPr>
      <w:r>
        <w:rPr>
          <w:rFonts w:ascii="Arial" w:cs="Arial" w:eastAsia="Arial" w:hAnsi="Arial"/>
          <w:b/>
          <w:bCs/>
          <w:sz w:val="19"/>
          <w:szCs w:val="19"/>
        </w:rPr>
        <w:t xml:space="preserve">Higher education (this version): </w:t>
      </w:r>
      <w:r>
        <w:rPr>
          <w:rFonts w:ascii="Arial" w:cs="Arial" w:eastAsia="Arial" w:hAnsi="Arial"/>
          <w:sz w:val="19"/>
          <w:szCs w:val="19"/>
        </w:rPr>
        <w:t xml:space="preserve">at least two ethical perspectives and a well-founded choice. For vocational education: CEFR B1 language and one question per step. For research universities: name and critique theories explicitly.</w:t>
      </w:r>
    </w:p>
    <w:p>
      <w:pPr>
        <w:keepNext/>
        <w:pBdr>
          <w:bottom w:val="single" w:color="5B2D8E" w:sz="8" w:space="2"/>
        </w:pBdr>
        <w:spacing w:after="90" w:before="200"/>
      </w:pPr>
      <w:r>
        <w:rPr>
          <w:rFonts w:ascii="Arial" w:cs="Arial" w:eastAsia="Arial" w:hAnsi="Arial"/>
          <w:b/>
          <w:bCs/>
          <w:color w:val="5B2D8E"/>
          <w:spacing w:val="30"/>
          <w:sz w:val="20"/>
          <w:szCs w:val="20"/>
        </w:rPr>
        <w:t xml:space="preserve">REFERENCES (APA 7)</w:t>
      </w:r>
    </w:p>
    <w:p>
      <w:pPr>
        <w:spacing w:after="40" w:line="240"/>
        <w:ind w:left="360" w:hanging="360"/>
      </w:pPr>
      <w:r>
        <w:rPr>
          <w:rFonts w:ascii="Arial" w:cs="Arial" w:eastAsia="Arial" w:hAnsi="Arial"/>
          <w:color w:val="333333"/>
          <w:sz w:val="16"/>
          <w:szCs w:val="16"/>
        </w:rPr>
        <w:t xml:space="preserve">Creative Commons. (n.d.). About CC licenses. https://creativecommons.org/share-your-work/cclicenses/</w:t>
      </w:r>
    </w:p>
    <w:p>
      <w:pPr/>
      <w:r/>
      <w:r>
        <w:rPr>
          <w:i/>
        </w:rPr>
        <w:t>Meijer, K. M. T. (2023). Impossible and inevitable: Reconstructing the critique of business ethics [Doctoral dissertation, Tilburg University]. Ridderprint. https://research.tilburguniversity.edu/en/publications/impossible-and-inevitable-reconstructing-the-critique-of-business/</w:t>
      </w:r>
    </w:p>
    <w:p>
      <w:pPr>
        <w:spacing w:after="40" w:line="240"/>
        <w:ind w:left="360" w:hanging="360"/>
      </w:pPr>
      <w:r>
        <w:rPr>
          <w:rFonts w:ascii="Arial" w:cs="Arial" w:eastAsia="Arial" w:hAnsi="Arial"/>
          <w:color w:val="333333"/>
          <w:sz w:val="16"/>
          <w:szCs w:val="16"/>
        </w:rPr>
        <w:t xml:space="preserve">Verbeek, P.-P., &amp; Tijink, D. (2019). Aanpak begeleidingsethiek: Een methode om ethisch te kijken naar technologie in de praktijk [Guidance ethics approach: A method for looking ethically at technology in practice]. ECP | Platform voor de InformatieSamenleving. https://ecp.nl/project/aanpak-begeleidingsethiek/</w:t>
      </w:r>
    </w:p>
    <w:p>
      <w:pPr>
        <w:spacing w:after="0" w:before="40"/>
      </w:pPr>
      <w:r>
        <w:rPr>
          <w:rFonts w:ascii="Arial" w:cs="Arial" w:eastAsia="Arial" w:hAnsi="Arial"/>
          <w:i/>
          <w:iCs/>
          <w:color w:val="5F5E5A"/>
          <w:sz w:val="15"/>
          <w:szCs w:val="15"/>
        </w:rPr>
        <w:t xml:space="preserve">Complexity determined using the research group’s working definition, classified according to the micro – meso – macro distinction (working definition, Lectoraat Ethisch Werken / Professorship Ethical Work, Fontys; inspired by the work of Meijer, 2023).</w:t>
      </w:r>
    </w:p>
    <w:sectPr>
      <w:headerReference w:type="default" r:id="rId7"/>
      <w:footerReference w:type="default" r:id="rId8"/>
      <w:headerReference w:type="first" r:id="rId10"/>
      <w:footerReference w:type="first" r:id="rId11"/>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Method based on: a three-phase approach to ethics and technology (Verbeek &amp; Tijink, 2019; worked out in our own words). Adaptation and case: Moral Craftsmanship, moralcraftsmanship.com. Licence: CC BY-SA 4.0 – https://creativecommons.org/licenses/by-sa/4.0/deed.en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MORAL CRAFTSMANSHIP · RESEARCH GROUP ETHICAL PRACTICE · TEACHER VERSION</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MW15 The activity monitor (Higher education HRM, EN, teacher version)</dc:title>
  <dc:creator>Moreel Vakmanschap</dc:creator>
  <cp:lastModifiedBy>Moral Craftsmanship</cp:lastModifiedBy>
  <cp:revision>1</cp:revision>
  <dcterms:created xsi:type="dcterms:W3CDTF">2026-09-30T10:35:04.267Z</dcterms:created>
  <dcterms:modified xsi:type="dcterms:W3CDTF">2026-09-30T10:35:04.267Z</dcterms:modified>
  <dc:language>en-GB</dc:language>
</cp:coreProperties>
</file>

<file path=docProps/custom.xml><?xml version="1.0" encoding="utf-8"?>
<Properties xmlns="http://schemas.openxmlformats.org/officeDocument/2006/custom-properties" xmlns:vt="http://schemas.openxmlformats.org/officeDocument/2006/docPropsVTypes"/>
</file>