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00"/>
        <w:gridCol w:w="2606"/>
      </w:tblGrid>
      <w:t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E56B6F" w:sz="24"/>
              <w:right w:val="none" w:color="FFFFFF" w:sz="0"/>
            </w:tcBorders>
            <w:shd w:fill="355070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ASSIGNMENT MW20 — ETHICS COMPETITION · HRM</w:t>
            </w:r>
          </w:p>
          <w:p>
            <w:pPr>
              <w:spacing w:after="4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Available within 24 hours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Case: a retail chain with 60 branches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E56B6F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120" w:before="100"/>
      </w:pPr>
      <w:r>
        <w:rPr>
          <w:rFonts w:ascii="Arial" w:cs="Arial" w:eastAsia="Arial" w:hAnsi="Arial"/>
          <w:color w:val="5F5E5A"/>
          <w:sz w:val="17"/>
          <w:szCs w:val="17"/>
        </w:rPr>
        <w:t xml:space="preserve">Phase in the model:  </w:t>
      </w: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17"/>
          <w:szCs w:val="17"/>
        </w:rPr>
        <w:t xml:space="preserve">  </w:t>
      </w:r>
      <w:r>
        <w:rPr>
          <w:rFonts w:ascii="Arial" w:cs="Arial" w:eastAsia="Arial" w:hAnsi="Arial"/>
          <w:color w:val="5F5E5A"/>
          <w:sz w:val="17"/>
          <w:szCs w:val="17"/>
        </w:rPr>
        <w:t xml:space="preserve">     Time: 75 min     Group: 2 teams of 3–5 + jury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single" w:color="E56B6F" w:sz="6"/>
              <w:left w:val="single" w:color="E56B6F" w:sz="6"/>
              <w:bottom w:val="single" w:color="E56B6F" w:sz="6"/>
              <w:right w:val="single" w:color="E56B6F" w:sz="6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spacing w:after="0"/>
            </w:pPr>
            <w:r>
              <w:drawing>
                <wp:inline distT="0" distB="0" distL="0" distR="0">
                  <wp:extent cx="6238875" cy="35052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38875" cy="350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THE SITUATION</w:t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c>
          <w:tcPr>
            <w:tcW w:type="dxa" w:w="9906"/>
            <w:tcBorders>
              <w:top w:val="none" w:color="FFFFFF" w:sz="0"/>
              <w:left w:val="single" w:color="993556" w:sz="36"/>
              <w:bottom w:val="none" w:color="FFFFFF" w:sz="0"/>
              <w:right w:val="none" w:color="FFFFFF" w:sz="0"/>
            </w:tcBorders>
            <w:shd w:fill="E6EBF2" w:color="auto" w:val="clear"/>
            <w:tcMar>
              <w:top w:type="dxa" w:w="140"/>
              <w:left w:type="dxa" w:w="240"/>
              <w:bottom w:type="dxa" w:w="100"/>
              <w:right w:type="dxa" w:w="200"/>
            </w:tcMar>
          </w:tcPr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 retail chain with sixty branches is introducing a new scheduling policy. Employees receive their schedule two weeks in advance, but the store may change it up to twenty-four hours beforehand. Anyone who cannot make it is called in for a talk with the branch manager. The company says: “This is how we stay competitive.”</w:t>
            </w:r>
          </w:p>
          <w:p>
            <w:pPr>
              <w:spacing w:after="10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HR adviser Priya hears from both sides. Branch managers say that otherwise they have no staff on busy days. A part-timer says: “I can’t arrange my childcare in six hours.” And a student employee asks: “Will I still be able to go to lectures?”</w:t>
            </w:r>
          </w:p>
          <w:p>
            <w:pPr>
              <w:spacing w:after="40" w:line="288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Priya has to advise management. She puts the question to two teams of colleagues: is it reasonable for an employer to expect employees to accept a schedule change within 24 hours?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Fictional case. Any resemblance to real persons or organisations is coincidental.</w:t>
      </w:r>
    </w:p>
    <w:p>
      <w:pPr>
        <w:pageBreakBefore/>
        <w:spacing w:after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HOW TO WORK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Read the case. Choose whether your team answers the first or the second question.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Team A prepares its answer: position, three reasons, strongest objection. Team B prepares questions.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Team A presents (5 min). Team B responds as a critical friend (5 min): what is strong, what is missing, which question do you ask?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(15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Team A responds to the questions (5 min). The jury asks both teams a question.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(10 min)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rFonts w:ascii="Arial" w:cs="Arial" w:eastAsia="Arial" w:hAnsi="Arial"/>
          <w:sz w:val="20"/>
          <w:szCs w:val="20"/>
        </w:rPr>
        <w:t xml:space="preserve">Swap roles with a second case or with the same question from the other side. Fill in the reflection.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(30 min)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TEAM A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Our position in one sentence: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506"/>
      </w:tblGrid>
      <w:tr>
        <w:trPr>
          <w:tblHeader/>
        </w:trP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507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8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55070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Our reasons (and the principle behind them)</w:t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B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55070"/>
                <w:sz w:val="19"/>
                <w:szCs w:val="19"/>
              </w:rPr>
              <w:t xml:space="preserve">Reason 1</w:t>
            </w:r>
          </w:p>
        </w:tc>
        <w:tc>
          <w:tcPr>
            <w:tcW w:type="dxa" w:w="8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B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55070"/>
                <w:sz w:val="19"/>
                <w:szCs w:val="19"/>
              </w:rPr>
              <w:t xml:space="preserve">Reason 2</w:t>
            </w:r>
          </w:p>
        </w:tc>
        <w:tc>
          <w:tcPr>
            <w:tcW w:type="dxa" w:w="8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rPr>
          <w:trHeight w:val="600" w:hRule="atLeast"/>
        </w:trPr>
        <w:tc>
          <w:tcPr>
            <w:tcW w:type="dxa" w:w="14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6EBF2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20"/>
            </w:pPr>
            <w:r>
              <w:rPr>
                <w:rFonts w:ascii="Arial" w:cs="Arial" w:eastAsia="Arial" w:hAnsi="Arial"/>
                <w:b/>
                <w:bCs/>
                <w:color w:val="355070"/>
                <w:sz w:val="19"/>
                <w:szCs w:val="19"/>
              </w:rPr>
              <w:t xml:space="preserve">Reason 3</w:t>
            </w:r>
          </w:p>
        </w:tc>
        <w:tc>
          <w:tcPr>
            <w:tcW w:type="dxa" w:w="85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</w:tbl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strongest objection to our position, and our answer to it: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TEAM B — THE CRITICAL FRIEND</w:t>
      </w:r>
    </w:p>
    <w:p>
      <w:pPr>
        <w:spacing w:after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What is strong? What is missing? Which two questions do we ask?</w:t>
      </w:r>
    </w:p>
    <w:p>
      <w:pPr>
        <w:pBdr>
          <w:bottom w:val="single" w:color="C9CED4" w:sz="4" w:space="1"/>
        </w:pBdr>
        <w:spacing w:after="0" w:before="0" w:line="33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3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REFLECTION</w:t>
      </w:r>
    </w:p>
    <w:p>
      <w:pPr>
        <w:keepNext/>
        <w:spacing w:after="50" w:before="90" w:line="264"/>
      </w:pPr>
      <w:r>
        <w:rPr>
          <w:rFonts w:ascii="Arial" w:cs="Arial" w:eastAsia="Arial" w:hAnsi="Arial"/>
          <w:b/>
          <w:bCs/>
          <w:color w:val="FFFFFF"/>
          <w:sz w:val="17"/>
          <w:szCs w:val="17"/>
          <w:shd w:fill="D4537E" w:color="auto" w:val="clear"/>
        </w:rPr>
        <w:t xml:space="preserve"> WEIGHING </w:t>
      </w:r>
      <w:r>
        <w:rPr>
          <w:rFonts w:ascii="Arial" w:cs="Arial" w:eastAsia="Arial" w:hAnsi="Arial"/>
          <w:sz w:val="20"/>
          <w:szCs w:val="20"/>
        </w:rPr>
        <w:t xml:space="preserve">  What did you take on board from the other team’s criticism? Support your answer with at least two perspectives, for example justice and consequences.</w:t>
      </w:r>
    </w:p>
    <w:p>
      <w:pPr>
        <w:pBdr>
          <w:bottom w:val="single" w:color="C9CED4" w:sz="4" w:space="1"/>
        </w:pBdr>
        <w:spacing w:after="0" w:before="0" w:line="340" w:lineRule="exact"/>
        <w:ind w:right="0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2"/>
      </w:pPr>
      <w:r>
        <w:rPr>
          <w:rFonts w:ascii="Arial" w:cs="Arial" w:eastAsia="Arial" w:hAnsi="Arial"/>
          <w:sz w:val="21"/>
          <w:szCs w:val="21"/>
        </w:rPr>
        <w:t xml:space="preserve"/>
      </w:r>
    </w:p>
    <w:p>
      <w:pPr>
        <w:pBdr>
          <w:bottom w:val="single" w:color="C9CED4" w:sz="4" w:space="1"/>
        </w:pBdr>
        <w:spacing w:after="0" w:before="0" w:line="340" w:lineRule="exact"/>
        <w:ind w:right="4"/>
      </w:pPr>
      <w:r>
        <w:rPr>
          <w:rFonts w:ascii="Arial" w:cs="Arial" w:eastAsia="Arial" w:hAnsi="Arial"/>
          <w:sz w:val="21"/>
          <w:szCs w:val="21"/>
        </w:rPr>
        <w:t xml:space="preserve"/>
      </w:r>
    </w:p>
    <w:sectPr>
      <w:headerReference w:type="default" r:id="rId7"/>
      <w:footerReference w:type="default" r:id="rId8"/>
      <w:headerReference w:type="first" r:id="rId11"/>
      <w:footerReference w:type="first" r:id="rId12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 xml:space="preserve">Method based on: ethics competition (after the Ethics Bowl format, Ladenson, 2001; own name and elaboration). Adaptation and case: Moral Craftsmanship, moralcraftsmanship.com. Licence: CC BY-SA 4.0 – https://creativecommons.org/licenses/by-sa/4.0/deed.en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 xml:space="preserve">MORAL CRAFTSMANSHIP · RESEARCH GROUP ETHICAL PRACTICE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b88efccdb24b3b68273544a7ec6ddd403ae5f60.jpg"/><Relationship Id="rId10" Type="http://schemas.openxmlformats.org/officeDocument/2006/relationships/fontTable" Target="fontTable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MW20 Available within 24 hours (Higher education HRM, EN, student version)</dc:title>
  <dc:creator>Moreel Vakmanschap</dc:creator>
  <cp:lastModifiedBy>Moral Craftsmanship</cp:lastModifiedBy>
  <cp:revision>1</cp:revision>
  <dcterms:created xsi:type="dcterms:W3CDTF">2026-09-30T09:24:23.470Z</dcterms:created>
  <dcterms:modified xsi:type="dcterms:W3CDTF">2026-09-30T09:24:23.471Z</dcterms:modified>
  <dc:language>en-GB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