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0E7C7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Where do you stand?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14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determine their own position on a moral statement and explain it.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when group pressure influences their position.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revise a position on the basis of an argument.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Nadia decides for herself where she stands, and the tension lies between her own conviction and her wish not to stand out.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Nadia’s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no organisational rule or culture determines the choice; the pressure comes from the group in the room (decision rules 1 and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statements themselves may also have Meso aspects. The level of the case says nothing about the level of the discussion.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space to walk, tape or a rope as the line, statements, pen and paper. Allow 30 minutes for three statements.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read out the statement, first let students write down a score individually and only then walk. First ask people at the ends, and only then the middle.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nobody has to say anything; anyone who wants to may pass.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stay in the middle. The score beforehand helps them really choose a position.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copy the position of a popular classmate. Ask who would stand elsewhere if they could not see the others.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Statements are too heavy or too private. Keep them to internships, work and study.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ALTERNATIVE STATEMENTS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Theme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E7C7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Fairness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“A good HR adviser sometimes leaves something unsaid, to protect someone.”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Loyalty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“If you see a colleague cheating, you must always report it.”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Justice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“Equal treatment means that everyone gets the same rules.”</w:t>
            </w:r>
          </w:p>
        </w:tc>
      </w:tr>
      <w:t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3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Autonomy</w:t>
            </w:r>
          </w:p>
        </w:tc>
        <w:tc>
          <w:tcPr>
            <w:tcW w:type="dxa" w:w="7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“Employees may decide for themselves how they do their work, as long as the result is right.”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(15 min): </w:t>
      </w:r>
      <w:r>
        <w:rPr>
          <w:rFonts w:ascii="Arial" w:cs="Arial" w:eastAsia="Arial" w:hAnsi="Arial"/>
          <w:sz w:val="19"/>
          <w:szCs w:val="19"/>
        </w:rPr>
        <w:t xml:space="preserve">two statements, without the worksheet.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slider or a score in the chat.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use four corners (strongly agree / agree / disagree / strongly disagree).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Raths, L. E., Harmin, M., &amp; Simon, S. B. (1966). Values and teaching: Working with values in the classroom. Charles E. Merrill. [Related background; the values line itself is general teaching repertoire without an owner.]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values line (general teaching repertoire).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MW23 Where do you stand? (Higher education HRM, EN, teacher version)</dc:title>
  <dc:creator>Moreel Vakmanschap</dc:creator>
  <cp:lastModifiedBy>Moral Craftsmanship</cp:lastModifiedBy>
  <cp:revision>1</cp:revision>
  <dcterms:created xsi:type="dcterms:W3CDTF">2026-09-29T10:22:50.845Z</dcterms:created>
  <dcterms:modified xsi:type="dcterms:W3CDTF">2026-09-29T10:22:50.845Z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