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2D3A2E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Nobody objected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C9A227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critically question a group decision from an assigned role.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respond to counterarguments or adjust the decision accordingly.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a role and their own opinion.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team weighs the wish for efficiency against fair chances for applicants, within the culture of a team that would rather stay silent than disagree.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culture and working methods of the team.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team culture and several stakeholders (applicants, team, company)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anti-discrimination law is in the background, but the core is the group process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30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make sure the role begins and ends explicitly. Rotate the advocate if the same student always provides the criticism.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Closing: </w:t>
      </w:r>
      <w:r>
        <w:rPr>
          <w:rFonts w:ascii="Arial" w:cs="Arial" w:eastAsia="Arial" w:hAnsi="Arial"/>
          <w:sz w:val="19"/>
          <w:szCs w:val="19"/>
        </w:rPr>
        <w:t xml:space="preserve">have the advocate say: “I am ending the role.” That keeps the conversation safe.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advocate plays too softly or too harshly. Ask for arguments, not behaviour.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group immediately defends itself. Let everything be heard first.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role is taken personally. Always close it explicitly.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COUNTERARGUMENTS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D3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direction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“A CV gap says nothing about suitability.”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does it say? Who knows a valid reason for a gap?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“You are excluding people who already have a hard time.”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is hit hardest by this? Are there alternatives without exclusion?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“If you do this, you run a legal risk.”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 we know about the rules? Whom can we ask?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F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D3A2E"/>
                <w:sz w:val="17"/>
                <w:szCs w:val="17"/>
              </w:rPr>
              <w:t xml:space="preserve">“Efficiency is no reason to reject people.”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other way of saving time is there?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(20 min): </w:t>
      </w:r>
      <w:r>
        <w:rPr>
          <w:rFonts w:ascii="Arial" w:cs="Arial" w:eastAsia="Arial" w:hAnsi="Arial"/>
          <w:sz w:val="19"/>
          <w:szCs w:val="19"/>
        </w:rPr>
        <w:t xml:space="preserve">the advocate names one argument; the group responds.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agree on the role in the chat and close it there too.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several groups work at the same time and discuss in plenary.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Janis, I. L. (1972). Victims of groupthink: A psychological study of foreign-policy decisions and fiascoes. Houghton Mifflin. [Background on groupthink; the method itself is general repertoire without an owner.]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devil’s advocate (general repertoire against groupthink).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MW26 Nobody objected (Higher education HRM, EN, teacher version)</dc:title>
  <dc:creator>Moreel Vakmanschap</dc:creator>
  <cp:lastModifiedBy>Moral Craftsmanship</cp:lastModifiedBy>
  <cp:revision>1</cp:revision>
  <dcterms:created xsi:type="dcterms:W3CDTF">2026-09-29T10:22:51.148Z</dcterms:created>
  <dcterms:modified xsi:type="dcterms:W3CDTF">2026-09-29T10:22:51.148Z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