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C9A227" w:sz="24"/>
              <w:right w:val="none" w:color="FFFFFF" w:sz="0"/>
            </w:tcBorders>
            <w:shd w:fill="2D3A2E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MW26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Niemand had bezwaar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C9A227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groepsbesluit kritisch bevragen vanuit een toegewezen rol.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tegenargumenten beantwoorden of het besluit daarop aanpassen.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onderscheid maken tussen een rol en een eigen mening.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het HR-team weegt de wens tot efficiëntie af tegen eerlijke kansen voor sollicitanten, binnen de cultuur van een team dat liever zwijgt dan tegenspreekt.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cultuur en werkwijze van het team.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teamcultuur en meerdere stakeholders (sollicitanten, team, bedrijf)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discriminatiewetgeving speelt op de achtergrond, maar de kern is het groepsproces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Groepjes van 3–6. Neem 30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zorg dat de rol expliciet begint en eindigt. Laat de advocaat wisselen als dezelfde student telkens de kritiek levert.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Afsluiten: </w:t>
      </w:r>
      <w:r>
        <w:rPr>
          <w:rFonts w:ascii="Arial" w:cs="Arial" w:eastAsia="Arial" w:hAnsi="Arial"/>
          <w:sz w:val="19"/>
          <w:szCs w:val="19"/>
        </w:rPr>
        <w:t xml:space="preserve">laat de advocaat zeggen: “Ik stop de rol.” Zo blijft het gesprek veilig.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advocaat speelt te zacht of te hard. Vraag om argumenten, niet om gedrag.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groep verdedigt zich meteen. Laat eerst alles horen.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rol wordt persoonlijk genomen. Sluit altijd expliciet af.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VOORBEELDEN VAN TEGENARGUMENTEN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D3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Argument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D3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Mogelijke richting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D3A2E"/>
                <w:sz w:val="17"/>
                <w:szCs w:val="17"/>
              </w:rPr>
              <w:t xml:space="preserve">“Een cv-gat zegt niets over geschiktheid.”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zegt het wel? Wie kent een geldige reden voor een gat?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D3A2E"/>
                <w:sz w:val="17"/>
                <w:szCs w:val="17"/>
              </w:rPr>
              <w:t xml:space="preserve">“Je sluit mensen uit die het al moeilijk hebben.”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Wie raakt dit het hardst? Zijn er alternatieven zonder uitsluiting?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D3A2E"/>
                <w:sz w:val="17"/>
                <w:szCs w:val="17"/>
              </w:rPr>
              <w:t xml:space="preserve">“Als je dit doet, loop je juridisch risico.”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weten we van de regels? Wie kunnen we vragen?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D3A2E"/>
                <w:sz w:val="17"/>
                <w:szCs w:val="17"/>
              </w:rPr>
              <w:t xml:space="preserve">“Efficiëntie is geen reden om mensen af te wijzen.”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Welke andere manier van tijd winnen is er?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(20 min): </w:t>
      </w:r>
      <w:r>
        <w:rPr>
          <w:rFonts w:ascii="Arial" w:cs="Arial" w:eastAsia="Arial" w:hAnsi="Arial"/>
          <w:sz w:val="19"/>
          <w:szCs w:val="19"/>
        </w:rPr>
        <w:t xml:space="preserve">de advocaat noemt één argument; de groep antwoordt.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spreek de rol af in de chat en sluit hem ook daar af.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meerdere groepjes tegelijk werken en bespreek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Janis, I. L. (1972). Victims of groupthink: A psychological study of foreign-policy decisions and fiascoes. Houghton Mifflin. [Achtergrond bij groepsdenken; de werkvorm zelf is algemeen repertoire zonder eigenaar.]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advocaat van de duivel (algemeen repertoire tegen groepsdenken).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MW26 Docentenversie – Niemand had bezwaar</dc:title>
  <dc:creator>Moreel Vakmanschap</dc:creator>
  <cp:lastModifiedBy>Un-named</cp:lastModifiedBy>
  <cp:revision>1</cp:revision>
  <dcterms:created xsi:type="dcterms:W3CDTF">2026-09-29T10:22:51.148Z</dcterms:created>
  <dcterms:modified xsi:type="dcterms:W3CDTF">2026-09-29T10:22:51.148Z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