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07A5F" w:sz="24"/>
              <w:right w:val="none" w:color="FFFFFF" w:sz="0"/>
            </w:tcBorders>
            <w:shd w:fill="3D405B"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DOCENTENVERSIE · MW28</w:t>
            </w:r>
          </w:p>
          <w:p>
            <w:pPr>
              <w:spacing w:after="40" w:line="250"/>
            </w:pPr>
            <w:r>
              <w:rPr>
                <w:rFonts w:ascii="Arial" w:cs="Arial" w:eastAsia="Arial" w:hAnsi="Arial"/>
                <w:b/>
                <w:bCs/>
                <w:color w:val="FFFFFF"/>
                <w:sz w:val="34"/>
                <w:szCs w:val="34"/>
              </w:rPr>
              <w:t xml:space="preserve">De grap die niemand tegensprak</w:t>
            </w:r>
          </w:p>
          <w:p>
            <w:pPr>
              <w:spacing w:after="0"/>
            </w:pPr>
            <w:r>
              <w:rPr>
                <w:rFonts w:ascii="Arial" w:cs="Arial" w:eastAsia="Arial" w:hAnsi="Arial"/>
                <w:color w:val="DDE6F0"/>
                <w:sz w:val="19"/>
                <w:szCs w:val="19"/>
              </w:rPr>
              <w:t xml:space="preserve">HBO · HRM · Nederlands · bij de studentenversie van 2 pagina’s</w:t>
            </w:r>
          </w:p>
        </w:tc>
        <w:tc>
          <w:tcPr>
            <w:tcW w:type="dxa" w:w="2606"/>
            <w:tcBorders>
              <w:top w:val="none" w:color="FFFFFF" w:sz="0"/>
              <w:left w:val="none" w:color="FFFFFF" w:sz="0"/>
              <w:bottom w:val="single" w:color="E07A5F"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MICRO ★☆☆</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pStyle w:val="ListParagraph"/>
        <w:numPr>
          <w:ilvl w:val="0"/>
          <w:numId w:val="2"/>
        </w:numPr>
        <w:spacing w:after="40" w:line="260"/>
      </w:pPr>
      <w:r>
        <w:rPr>
          <w:rFonts w:ascii="Arial" w:cs="Arial" w:eastAsia="Arial" w:hAnsi="Arial"/>
          <w:sz w:val="19"/>
          <w:szCs w:val="19"/>
        </w:rPr>
        <w:t xml:space="preserve">De student kan een moreel schurend moment feitelijk beschrijven. (Zien)</w:t>
      </w:r>
    </w:p>
    <w:p>
      <w:pPr>
        <w:pStyle w:val="ListParagraph"/>
        <w:numPr>
          <w:ilvl w:val="0"/>
          <w:numId w:val="2"/>
        </w:numPr>
        <w:spacing w:after="40" w:line="260"/>
      </w:pPr>
      <w:r>
        <w:rPr>
          <w:rFonts w:ascii="Arial" w:cs="Arial" w:eastAsia="Arial" w:hAnsi="Arial"/>
          <w:sz w:val="19"/>
          <w:szCs w:val="19"/>
        </w:rPr>
        <w:t xml:space="preserve">De student kan het eigen gevoel bij dat moment benoemen als signaal. (Voelen)</w:t>
      </w:r>
    </w:p>
    <w:p>
      <w:pPr>
        <w:pStyle w:val="ListParagraph"/>
        <w:numPr>
          <w:ilvl w:val="0"/>
          <w:numId w:val="2"/>
        </w:numPr>
        <w:spacing w:after="40" w:line="260"/>
      </w:pPr>
      <w:r>
        <w:rPr>
          <w:rFonts w:ascii="Arial" w:cs="Arial" w:eastAsia="Arial" w:hAnsi="Arial"/>
          <w:sz w:val="19"/>
          <w:szCs w:val="19"/>
        </w:rPr>
        <w:t xml:space="preserve">De student kan formuleren wat hij de volgende keer anders doet en wat hij daarvoor nodig heeft. (Handelen, Volhouden)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MICRO?</w:t>
      </w:r>
    </w:p>
    <w:p>
      <w:pPr>
        <w:spacing w:after="50" w:line="264"/>
      </w:pPr>
      <w:r>
        <w:rPr>
          <w:rFonts w:ascii="Arial" w:cs="Arial" w:eastAsia="Arial" w:hAnsi="Arial"/>
          <w:i/>
          <w:iCs/>
          <w:sz w:val="19"/>
          <w:szCs w:val="19"/>
        </w:rPr>
        <w:t xml:space="preserve">Micro: Milan kiest zelf hoe hij zich verhoudt tot Kamil en tot een collega, en de gevolgen blijven binnen die relaties.</w:t>
      </w:r>
    </w:p>
    <w:p>
      <w:pPr>
        <w:pStyle w:val="ListParagraph"/>
        <w:numPr>
          <w:ilvl w:val="0"/>
          <w:numId w:val="2"/>
        </w:numPr>
        <w:spacing w:after="40" w:line="260"/>
      </w:pPr>
      <w:r>
        <w:rPr>
          <w:rFonts w:ascii="Arial" w:cs="Arial" w:eastAsia="Arial" w:hAnsi="Arial"/>
          <w:b/>
          <w:bCs/>
          <w:sz w:val="19"/>
          <w:szCs w:val="19"/>
        </w:rPr>
        <w:t xml:space="preserve">Toets: </w:t>
      </w:r>
      <w:r>
        <w:rPr>
          <w:rFonts w:ascii="Arial" w:cs="Arial" w:eastAsia="Arial" w:hAnsi="Arial"/>
          <w:sz w:val="19"/>
          <w:szCs w:val="19"/>
        </w:rPr>
        <w:t xml:space="preserve">“Wie of wat zou er moeten veranderen om dit dilemma te laten verdwijnen?” Antwoord: Milans eigen keuze. Dat is Micro.</w:t>
      </w:r>
    </w:p>
    <w:p>
      <w:pPr>
        <w:pStyle w:val="ListParagraph"/>
        <w:numPr>
          <w:ilvl w:val="0"/>
          <w:numId w:val="2"/>
        </w:numPr>
        <w:spacing w:after="40" w:line="260"/>
      </w:pPr>
      <w:r>
        <w:rPr>
          <w:rFonts w:ascii="Arial" w:cs="Arial" w:eastAsia="Arial" w:hAnsi="Arial"/>
          <w:b/>
          <w:bCs/>
          <w:sz w:val="19"/>
          <w:szCs w:val="19"/>
        </w:rPr>
        <w:t xml:space="preserve">Let op: </w:t>
      </w:r>
      <w:r>
        <w:rPr>
          <w:rFonts w:ascii="Arial" w:cs="Arial" w:eastAsia="Arial" w:hAnsi="Arial"/>
          <w:sz w:val="19"/>
          <w:szCs w:val="19"/>
        </w:rPr>
        <w:t xml:space="preserve">het voorbeeld is Micro, maar het eigen incident van een student kan ook Meso zijn (bijvoorbeeld een cultuur waarin zulke grappen normaal zijn). Bepaal dat niveau samen met de student met de beslisregels.</w:t>
      </w:r>
    </w:p>
    <w:p>
      <w:pPr>
        <w:pStyle w:val="ListParagraph"/>
        <w:numPr>
          <w:ilvl w:val="0"/>
          <w:numId w:val="2"/>
        </w:numPr>
        <w:spacing w:after="40" w:line="260"/>
      </w:pPr>
      <w:r>
        <w:rPr>
          <w:rFonts w:ascii="Arial" w:cs="Arial" w:eastAsia="Arial" w:hAnsi="Arial"/>
          <w:b/>
          <w:bCs/>
          <w:sz w:val="19"/>
          <w:szCs w:val="19"/>
        </w:rPr>
        <w:t xml:space="preserve">Twijfel: </w:t>
      </w:r>
      <w:r>
        <w:rPr>
          <w:rFonts w:ascii="Arial" w:cs="Arial" w:eastAsia="Arial" w:hAnsi="Arial"/>
          <w:sz w:val="19"/>
          <w:szCs w:val="19"/>
        </w:rPr>
        <w:t xml:space="preserve">kies het laagste niveau dat de kernspanning dekt (beslisregel 4).</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pStyle w:val="ListParagraph"/>
        <w:numPr>
          <w:ilvl w:val="0"/>
          <w:numId w:val="2"/>
        </w:numPr>
        <w:spacing w:after="40" w:line="260"/>
      </w:pPr>
      <w:r>
        <w:rPr>
          <w:rFonts w:ascii="Arial" w:cs="Arial" w:eastAsia="Arial" w:hAnsi="Arial"/>
          <w:b/>
          <w:bCs/>
          <w:sz w:val="19"/>
          <w:szCs w:val="19"/>
        </w:rPr>
        <w:t xml:space="preserve">Materiaal: </w:t>
      </w:r>
      <w:r>
        <w:rPr>
          <w:rFonts w:ascii="Arial" w:cs="Arial" w:eastAsia="Arial" w:hAnsi="Arial"/>
          <w:sz w:val="19"/>
          <w:szCs w:val="19"/>
        </w:rPr>
        <w:t xml:space="preserve">studentenversie dubbelzijdig geprint, pennen, timer. Individueel werk, daarna eventueel een tweetal. Neem 30 minuten.</w:t>
      </w:r>
    </w:p>
    <w:p>
      <w:pPr>
        <w:pStyle w:val="ListParagraph"/>
        <w:numPr>
          <w:ilvl w:val="0"/>
          <w:numId w:val="2"/>
        </w:numPr>
        <w:spacing w:after="40" w:line="260"/>
      </w:pPr>
      <w:r>
        <w:rPr>
          <w:rFonts w:ascii="Arial" w:cs="Arial" w:eastAsia="Arial" w:hAnsi="Arial"/>
          <w:b/>
          <w:bCs/>
          <w:sz w:val="19"/>
          <w:szCs w:val="19"/>
        </w:rPr>
        <w:t xml:space="preserve">Rol van de begeleider: </w:t>
      </w:r>
      <w:r>
        <w:rPr>
          <w:rFonts w:ascii="Arial" w:cs="Arial" w:eastAsia="Arial" w:hAnsi="Arial"/>
          <w:sz w:val="19"/>
          <w:szCs w:val="19"/>
        </w:rPr>
        <w:t xml:space="preserve">geef ruimte voor stilte. Loop rond, maar lees niet mee zonder toestemming.</w:t>
      </w:r>
    </w:p>
    <w:p>
      <w:pPr>
        <w:pStyle w:val="ListParagraph"/>
        <w:numPr>
          <w:ilvl w:val="0"/>
          <w:numId w:val="2"/>
        </w:numPr>
        <w:spacing w:after="40" w:line="260"/>
      </w:pPr>
      <w:r>
        <w:rPr>
          <w:rFonts w:ascii="Arial" w:cs="Arial" w:eastAsia="Arial" w:hAnsi="Arial"/>
          <w:b/>
          <w:bCs/>
          <w:sz w:val="19"/>
          <w:szCs w:val="19"/>
        </w:rPr>
        <w:t xml:space="preserve">Portfolio: </w:t>
      </w:r>
      <w:r>
        <w:rPr>
          <w:rFonts w:ascii="Arial" w:cs="Arial" w:eastAsia="Arial" w:hAnsi="Arial"/>
          <w:sz w:val="19"/>
          <w:szCs w:val="19"/>
        </w:rPr>
        <w:t xml:space="preserve">het formulier is geschikt als basis voor een moreel dagboek of portfolio-onderdeel.</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pStyle w:val="ListParagraph"/>
        <w:numPr>
          <w:ilvl w:val="0"/>
          <w:numId w:val="2"/>
        </w:numPr>
        <w:spacing w:after="40" w:line="260"/>
      </w:pPr>
      <w:r>
        <w:rPr>
          <w:rFonts w:ascii="Arial" w:cs="Arial" w:eastAsia="Arial" w:hAnsi="Arial"/>
          <w:sz w:val="19"/>
          <w:szCs w:val="19"/>
        </w:rPr>
        <w:t xml:space="preserve">Studenten kiezen een groot of pijnlijk incident. Adviseer een klein, alledaags moment.</w:t>
      </w:r>
    </w:p>
    <w:p>
      <w:pPr>
        <w:pStyle w:val="ListParagraph"/>
        <w:numPr>
          <w:ilvl w:val="0"/>
          <w:numId w:val="2"/>
        </w:numPr>
        <w:spacing w:after="40" w:line="260"/>
      </w:pPr>
      <w:r>
        <w:rPr>
          <w:rFonts w:ascii="Arial" w:cs="Arial" w:eastAsia="Arial" w:hAnsi="Arial"/>
          <w:sz w:val="19"/>
          <w:szCs w:val="19"/>
        </w:rPr>
        <w:t xml:space="preserve">Studenten noemen namen of herkenbare details. Herinner aan anonimiseren.</w:t>
      </w:r>
    </w:p>
    <w:p>
      <w:pPr>
        <w:pStyle w:val="ListParagraph"/>
        <w:numPr>
          <w:ilvl w:val="0"/>
          <w:numId w:val="2"/>
        </w:numPr>
        <w:spacing w:after="40" w:line="260"/>
      </w:pPr>
      <w:r>
        <w:rPr>
          <w:rFonts w:ascii="Arial" w:cs="Arial" w:eastAsia="Arial" w:hAnsi="Arial"/>
          <w:sz w:val="19"/>
          <w:szCs w:val="19"/>
        </w:rPr>
        <w:t xml:space="preserve">Delen wordt afgedwongen. Houd het vrijwillig; het formulier hoeft nooit ingeleverd te worden.</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HOE HET FORMULIER AAN HET MODEL HANGT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C5CC" w:sz="4"/>
              <w:left w:val="single" w:color="BFC5CC" w:sz="4"/>
              <w:bottom w:val="single" w:color="BFC5CC" w:sz="4"/>
              <w:right w:val="single" w:color="BFC5CC" w:sz="4"/>
            </w:tcBorders>
            <w:shd w:fill="3D405B"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Fase</w:t>
            </w:r>
          </w:p>
        </w:tc>
        <w:tc>
          <w:tcPr>
            <w:tcW w:type="dxa" w:w="7706"/>
            <w:tcBorders>
              <w:top w:val="single" w:color="BFC5CC" w:sz="4"/>
              <w:left w:val="single" w:color="BFC5CC" w:sz="4"/>
              <w:bottom w:val="single" w:color="BFC5CC" w:sz="4"/>
              <w:right w:val="single" w:color="BFC5CC" w:sz="4"/>
            </w:tcBorders>
            <w:shd w:fill="3D405B"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Vraag op het formulier</w:t>
            </w:r>
          </w:p>
        </w:tc>
      </w:tr>
      <w:tr>
        <w:tc>
          <w:tcPr>
            <w:tcW w:type="dxa" w:w="2200"/>
            <w:tcBorders>
              <w:top w:val="single" w:color="BFC5CC" w:sz="4"/>
              <w:left w:val="single" w:color="BFC5CC" w:sz="4"/>
              <w:bottom w:val="single" w:color="BFC5CC" w:sz="4"/>
              <w:right w:val="single" w:color="BFC5CC" w:sz="4"/>
            </w:tcBorders>
            <w:shd w:fill="ECECF3" w:color="auto" w:val="clear"/>
            <w:tcMar>
              <w:top w:type="dxa" w:w="60"/>
              <w:left w:type="dxa" w:w="100"/>
              <w:bottom w:type="dxa" w:w="60"/>
              <w:right w:type="dxa" w:w="100"/>
            </w:tcMar>
          </w:tcPr>
          <w:p>
            <w:pPr>
              <w:spacing w:after="20" w:line="232"/>
            </w:pPr>
            <w:r>
              <w:rPr>
                <w:rFonts w:ascii="Arial" w:cs="Arial" w:eastAsia="Arial" w:hAnsi="Arial"/>
                <w:b/>
                <w:bCs/>
                <w:color w:val="3D405B"/>
                <w:sz w:val="17"/>
                <w:szCs w:val="17"/>
              </w:rPr>
              <w:t xml:space="preserve">Zien</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Wat gebeurde er, feitelijk en anoniem?</w:t>
            </w:r>
          </w:p>
        </w:tc>
      </w:tr>
      <w:tr>
        <w:tc>
          <w:tcPr>
            <w:tcW w:type="dxa" w:w="2200"/>
            <w:tcBorders>
              <w:top w:val="single" w:color="BFC5CC" w:sz="4"/>
              <w:left w:val="single" w:color="BFC5CC" w:sz="4"/>
              <w:bottom w:val="single" w:color="BFC5CC" w:sz="4"/>
              <w:right w:val="single" w:color="BFC5CC" w:sz="4"/>
            </w:tcBorders>
            <w:shd w:fill="ECECF3" w:color="auto" w:val="clear"/>
            <w:tcMar>
              <w:top w:type="dxa" w:w="60"/>
              <w:left w:type="dxa" w:w="100"/>
              <w:bottom w:type="dxa" w:w="60"/>
              <w:right w:type="dxa" w:w="100"/>
            </w:tcMar>
          </w:tcPr>
          <w:p>
            <w:pPr>
              <w:spacing w:after="20" w:line="232"/>
            </w:pPr>
            <w:r>
              <w:rPr>
                <w:rFonts w:ascii="Arial" w:cs="Arial" w:eastAsia="Arial" w:hAnsi="Arial"/>
                <w:b/>
                <w:bCs/>
                <w:color w:val="3D405B"/>
                <w:sz w:val="17"/>
                <w:szCs w:val="17"/>
              </w:rPr>
              <w:t xml:space="preserve">Voelen</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Welk gevoel gaf een signaal, en waar merkte je dat?</w:t>
            </w:r>
          </w:p>
        </w:tc>
      </w:tr>
      <w:tr>
        <w:tc>
          <w:tcPr>
            <w:tcW w:type="dxa" w:w="2200"/>
            <w:tcBorders>
              <w:top w:val="single" w:color="BFC5CC" w:sz="4"/>
              <w:left w:val="single" w:color="BFC5CC" w:sz="4"/>
              <w:bottom w:val="single" w:color="BFC5CC" w:sz="4"/>
              <w:right w:val="single" w:color="BFC5CC" w:sz="4"/>
            </w:tcBorders>
            <w:shd w:fill="ECECF3" w:color="auto" w:val="clear"/>
            <w:tcMar>
              <w:top w:type="dxa" w:w="60"/>
              <w:left w:type="dxa" w:w="100"/>
              <w:bottom w:type="dxa" w:w="60"/>
              <w:right w:type="dxa" w:w="100"/>
            </w:tcMar>
          </w:tcPr>
          <w:p>
            <w:pPr>
              <w:spacing w:after="20" w:line="232"/>
            </w:pPr>
            <w:r>
              <w:rPr>
                <w:rFonts w:ascii="Arial" w:cs="Arial" w:eastAsia="Arial" w:hAnsi="Arial"/>
                <w:b/>
                <w:bCs/>
                <w:color w:val="3D405B"/>
                <w:sz w:val="17"/>
                <w:szCs w:val="17"/>
              </w:rPr>
              <w:t xml:space="preserve">Wegen</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Welke waarden botsten en wat woog zwaar?</w:t>
            </w:r>
          </w:p>
        </w:tc>
      </w:tr>
      <w:tr>
        <w:tc>
          <w:tcPr>
            <w:tcW w:type="dxa" w:w="2200"/>
            <w:tcBorders>
              <w:top w:val="single" w:color="BFC5CC" w:sz="4"/>
              <w:left w:val="single" w:color="BFC5CC" w:sz="4"/>
              <w:bottom w:val="single" w:color="BFC5CC" w:sz="4"/>
              <w:right w:val="single" w:color="BFC5CC" w:sz="4"/>
            </w:tcBorders>
            <w:shd w:fill="ECECF3" w:color="auto" w:val="clear"/>
            <w:tcMar>
              <w:top w:type="dxa" w:w="60"/>
              <w:left w:type="dxa" w:w="100"/>
              <w:bottom w:type="dxa" w:w="60"/>
              <w:right w:type="dxa" w:w="100"/>
            </w:tcMar>
          </w:tcPr>
          <w:p>
            <w:pPr>
              <w:spacing w:after="20" w:line="232"/>
            </w:pPr>
            <w:r>
              <w:rPr>
                <w:rFonts w:ascii="Arial" w:cs="Arial" w:eastAsia="Arial" w:hAnsi="Arial"/>
                <w:b/>
                <w:bCs/>
                <w:color w:val="3D405B"/>
                <w:sz w:val="17"/>
                <w:szCs w:val="17"/>
              </w:rPr>
              <w:t xml:space="preserve">Handelen</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Wat deed je, en wat doe je een volgende keer anders?</w:t>
            </w:r>
          </w:p>
        </w:tc>
      </w:tr>
      <w:tr>
        <w:tc>
          <w:tcPr>
            <w:tcW w:type="dxa" w:w="2200"/>
            <w:tcBorders>
              <w:top w:val="single" w:color="BFC5CC" w:sz="4"/>
              <w:left w:val="single" w:color="BFC5CC" w:sz="4"/>
              <w:bottom w:val="single" w:color="BFC5CC" w:sz="4"/>
              <w:right w:val="single" w:color="BFC5CC" w:sz="4"/>
            </w:tcBorders>
            <w:shd w:fill="ECECF3" w:color="auto" w:val="clear"/>
            <w:tcMar>
              <w:top w:type="dxa" w:w="60"/>
              <w:left w:type="dxa" w:w="100"/>
              <w:bottom w:type="dxa" w:w="60"/>
              <w:right w:type="dxa" w:w="100"/>
            </w:tcMar>
          </w:tcPr>
          <w:p>
            <w:pPr>
              <w:spacing w:after="20" w:line="232"/>
            </w:pPr>
            <w:r>
              <w:rPr>
                <w:rFonts w:ascii="Arial" w:cs="Arial" w:eastAsia="Arial" w:hAnsi="Arial"/>
                <w:b/>
                <w:bCs/>
                <w:color w:val="3D405B"/>
                <w:sz w:val="17"/>
                <w:szCs w:val="17"/>
              </w:rPr>
              <w:t xml:space="preserve">Volhouden</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Wat heb je nodig om dat onder druk vol te houden?</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pStyle w:val="ListParagraph"/>
        <w:numPr>
          <w:ilvl w:val="0"/>
          <w:numId w:val="2"/>
        </w:numPr>
        <w:spacing w:after="40" w:line="260"/>
      </w:pPr>
      <w:r>
        <w:rPr>
          <w:rFonts w:ascii="Arial" w:cs="Arial" w:eastAsia="Arial" w:hAnsi="Arial"/>
          <w:b/>
          <w:bCs/>
          <w:sz w:val="19"/>
          <w:szCs w:val="19"/>
        </w:rPr>
        <w:t xml:space="preserve">Korter (20 min): </w:t>
      </w:r>
      <w:r>
        <w:rPr>
          <w:rFonts w:ascii="Arial" w:cs="Arial" w:eastAsia="Arial" w:hAnsi="Arial"/>
          <w:sz w:val="19"/>
          <w:szCs w:val="19"/>
        </w:rPr>
        <w:t xml:space="preserve">laat studenten alleen Zien, Voelen en Handelen invullen.</w:t>
      </w:r>
    </w:p>
    <w:p>
      <w:pPr>
        <w:pStyle w:val="ListParagraph"/>
        <w:numPr>
          <w:ilvl w:val="0"/>
          <w:numId w:val="2"/>
        </w:numPr>
        <w:spacing w:after="40" w:line="260"/>
      </w:pPr>
      <w:r>
        <w:rPr>
          <w:rFonts w:ascii="Arial" w:cs="Arial" w:eastAsia="Arial" w:hAnsi="Arial"/>
          <w:b/>
          <w:bCs/>
          <w:sz w:val="19"/>
          <w:szCs w:val="19"/>
        </w:rPr>
        <w:t xml:space="preserve">Online: </w:t>
      </w:r>
      <w:r>
        <w:rPr>
          <w:rFonts w:ascii="Arial" w:cs="Arial" w:eastAsia="Arial" w:hAnsi="Arial"/>
          <w:sz w:val="19"/>
          <w:szCs w:val="19"/>
        </w:rPr>
        <w:t xml:space="preserve">laat studenten het formulier privé invullen; delen alleen in tweetallen.</w:t>
      </w:r>
    </w:p>
    <w:p>
      <w:pPr>
        <w:pStyle w:val="ListParagraph"/>
        <w:numPr>
          <w:ilvl w:val="0"/>
          <w:numId w:val="2"/>
        </w:numPr>
        <w:spacing w:after="40" w:line="260"/>
      </w:pPr>
      <w:r>
        <w:rPr>
          <w:rFonts w:ascii="Arial" w:cs="Arial" w:eastAsia="Arial" w:hAnsi="Arial"/>
          <w:b/>
          <w:bCs/>
          <w:sz w:val="19"/>
          <w:szCs w:val="19"/>
        </w:rPr>
        <w:t xml:space="preserve">Reeks: </w:t>
      </w:r>
      <w:r>
        <w:rPr>
          <w:rFonts w:ascii="Arial" w:cs="Arial" w:eastAsia="Arial" w:hAnsi="Arial"/>
          <w:sz w:val="19"/>
          <w:szCs w:val="19"/>
        </w:rPr>
        <w:t xml:space="preserve">laat studenten in de loop van het jaar meerdere incidenten verzamelen.</w:t>
      </w:r>
    </w:p>
    <w:p>
      <w:pPr>
        <w:pStyle w:val="ListParagraph"/>
        <w:numPr>
          <w:ilvl w:val="0"/>
          <w:numId w:val="2"/>
        </w:numPr>
        <w:spacing w:after="40" w:line="260"/>
      </w:pPr>
      <w:r>
        <w:rPr>
          <w:rFonts w:ascii="Arial" w:cs="Arial" w:eastAsia="Arial" w:hAnsi="Arial"/>
          <w:b/>
          <w:bCs/>
          <w:sz w:val="19"/>
          <w:szCs w:val="19"/>
        </w:rPr>
        <w:t xml:space="preserve">HBO (deze versie): </w:t>
      </w:r>
      <w:r>
        <w:rPr>
          <w:rFonts w:ascii="Arial" w:cs="Arial" w:eastAsia="Arial" w:hAnsi="Arial"/>
          <w:sz w:val="19"/>
          <w:szCs w:val="19"/>
        </w:rPr>
        <w:t xml:space="preserve">minstens twee ethische perspectieven en een onderbouwde keuze. Voor MBO: B1-taal en één vraag per stap. Voor WO: theorieën expliciet benoemen en bekritiseren.</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40" w:line="240"/>
        <w:ind w:left="360" w:hanging="360"/>
      </w:pPr>
      <w:r>
        <w:rPr>
          <w:rFonts w:ascii="Arial" w:cs="Arial" w:eastAsia="Arial" w:hAnsi="Arial"/>
          <w:color w:val="333333"/>
          <w:sz w:val="16"/>
          <w:szCs w:val="16"/>
        </w:rPr>
        <w:t xml:space="preserve">Creative Commons. (z.d.). About CC licenses. https://creativecommons.org/share-your-work/cclicenses/</w:t>
      </w:r>
    </w:p>
    <w:p>
      <w:pPr>
        <w:spacing w:after="40" w:line="240"/>
        <w:ind w:left="360" w:hanging="360"/>
      </w:pPr>
      <w:r>
        <w:rPr>
          <w:rFonts w:ascii="Arial" w:cs="Arial" w:eastAsia="Arial" w:hAnsi="Arial"/>
          <w:color w:val="333333"/>
          <w:sz w:val="16"/>
          <w:szCs w:val="16"/>
        </w:rPr>
        <w:t xml:space="preserve">Flanagan, J. C. (1954). The critical incident technique. Psychological Bulletin, 51(4), 327–358. https://doi.org/10.1037/h0061470</w:t>
      </w:r>
    </w:p>
    <w:p>
      <w:pPr/>
      <w:r/>
      <w:r>
        <w:rPr>
          <w:i/>
        </w:rPr>
        <w:t>Meijer, K. M. T. (2023). Impossible and inevitable: Reconstructing the critique of business ethics [Proefschrift, Tilburg University]. Ridderprint. https://research.tilburguniversity.edu/en/publications/impossible-and-inevitable-reconstructing-the-critique-of-business/</w:t>
      </w:r>
    </w:p>
    <w:p>
      <w:pPr>
        <w:spacing w:after="0" w:before="40"/>
      </w:pPr>
      <w:r>
        <w:rPr>
          <w:rFonts w:ascii="Arial" w:cs="Arial" w:eastAsia="Arial" w:hAnsi="Arial"/>
          <w:i/>
          <w:iCs/>
          <w:color w:val="5F5E5A"/>
          <w:sz w:val="15"/>
          <w:szCs w:val="15"/>
        </w:rPr>
        <w:t xml:space="preserve">Complexiteit bepaald met de driedeling micro – meso – macro. De driedeling micro – meso – macro is een werkdefinitie van het Lectoraat Ethisch Werken (Fontys), geïnspireerd op het werk van Meijer (2023).</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kritisch-incidentbeschrijving (Flanagan, 1954).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DOCENTENVERSIE</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MW28 Docentenversie – De grap die niemand tegensprak</dc:title>
  <dc:creator>Moreel Vakmanschap</dc:creator>
  <cp:lastModifiedBy>Un-named</cp:lastModifiedBy>
  <cp:revision>1</cp:revision>
  <dcterms:created xsi:type="dcterms:W3CDTF">2026-09-29T09:46:30.909Z</dcterms:created>
  <dcterms:modified xsi:type="dcterms:W3CDTF">2026-09-29T09:46:30.909Z</dcterms:modified>
</cp:coreProperties>
</file>

<file path=docProps/custom.xml><?xml version="1.0" encoding="utf-8"?>
<Properties xmlns="http://schemas.openxmlformats.org/officeDocument/2006/custom-properties" xmlns:vt="http://schemas.openxmlformats.org/officeDocument/2006/docPropsVTypes"/>
</file>