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4A259" w:sz="24"/>
              <w:right w:val="none" w:color="FFFFFF" w:sz="0"/>
            </w:tcBorders>
            <w:shd w:fill="1D6FA5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ASSIGNMENT MW29 — ETHICS CANVAS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buddy 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Case: a care organisation with 900 employees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4A259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Phase in the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2F7FC1" w:color="auto" w:val="clear"/>
        </w:rPr>
        <w:t xml:space="preserve"> SEEING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Time: 75 min     Group: 3–6 students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F4A259" w:sz="6"/>
              <w:left w:val="single" w:color="F4A259" w:sz="6"/>
              <w:bottom w:val="single" w:color="F4A259" w:sz="6"/>
              <w:right w:val="single" w:color="F4A259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SITUATION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E5EFF7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HR team of a care organisation wants new employees to settle in faster. It commissions an app that matches every new colleague with a buddy. The app looks at department, schedule, age, education and interests that employees fill in themselves. After four weeks the app reports how well the match “works”.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HR adviser Lotte is pleased with the idea. But on the pilot ward she hears two things. A nurse who has just left says: “My buddy was told that I was often ill.” A team leader says: “This is handy, now I can see straight away who is struggling.”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Management wants to roll it out across the whole organisation next month. Lotte gets one morning to review the plan. She decides to fill in a canvas with her team.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Fictional case. Any resemblance to real persons or organisations is coincidental.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TO WORK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Read the case. Determine exactly what the app does.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Fill in boxes 1 and 2: who is involved and what does it deliver?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Fill in boxes 3, 4 and 5: what changes and where is the risk?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(25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Fill in boxes 6, 7 and 8: values, measures and first step.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(20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Compare with another group. Choose one measure to take right away.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CANVAS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rHeight w:val="1650" w:hRule="atLeast"/>
        </w:trPr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D6FA5"/>
                <w:sz w:val="18"/>
                <w:szCs w:val="18"/>
              </w:rPr>
              <w:t xml:space="preserve">1. Stakeholders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Who uses the app or is affected by it?</w:t>
            </w:r>
          </w:p>
        </w:tc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D6FA5"/>
                <w:sz w:val="18"/>
                <w:szCs w:val="18"/>
              </w:rPr>
              <w:t xml:space="preserve">2. Benefits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What does each group gain?</w:t>
            </w:r>
          </w:p>
        </w:tc>
      </w:tr>
      <w:tr>
        <w:trPr>
          <w:trHeight w:val="1650" w:hRule="atLeast"/>
        </w:trPr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D6FA5"/>
                <w:sz w:val="18"/>
                <w:szCs w:val="18"/>
              </w:rPr>
              <w:t xml:space="preserve">3. Behaviour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What will people do differently?</w:t>
            </w:r>
          </w:p>
        </w:tc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D6FA5"/>
                <w:sz w:val="18"/>
                <w:szCs w:val="18"/>
              </w:rPr>
              <w:t xml:space="preserve">4. Relationships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What changes between colleagues and with managers?</w:t>
            </w:r>
          </w:p>
        </w:tc>
      </w:tr>
      <w:tr>
        <w:trPr>
          <w:trHeight w:val="1650" w:hRule="atLeast"/>
        </w:trPr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D6FA5"/>
                <w:sz w:val="18"/>
                <w:szCs w:val="18"/>
              </w:rPr>
              <w:t xml:space="preserve">5. Risks and conflicts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Where does it go wrong? Who loses?</w:t>
            </w:r>
          </w:p>
        </w:tc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D6FA5"/>
                <w:sz w:val="18"/>
                <w:szCs w:val="18"/>
              </w:rPr>
              <w:t xml:space="preserve">6. Values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What do we consider important, for example privacy, fairness, care?</w:t>
            </w:r>
          </w:p>
        </w:tc>
      </w:tr>
      <w:tr>
        <w:trPr>
          <w:trHeight w:val="1650" w:hRule="atLeast"/>
        </w:trPr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D6FA5"/>
                <w:sz w:val="18"/>
                <w:szCs w:val="18"/>
              </w:rPr>
              <w:t xml:space="preserve">7. Measures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What do we adjust or leave out?</w:t>
            </w:r>
          </w:p>
        </w:tc>
        <w:tc>
          <w:tcPr>
            <w:tcW w:type="dxa" w:w="49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D6FA5"/>
                <w:sz w:val="18"/>
                <w:szCs w:val="18"/>
              </w:rPr>
              <w:t xml:space="preserve">8. First step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What do we do tomorrow and who is responsible?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REFLECTION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F7FC1" w:color="auto" w:val="clear"/>
        </w:rPr>
        <w:t xml:space="preserve"> SEEING </w:t>
      </w:r>
      <w:r>
        <w:rPr>
          <w:rFonts w:ascii="Arial" w:cs="Arial" w:eastAsia="Arial" w:hAnsi="Arial"/>
          <w:sz w:val="20"/>
          <w:szCs w:val="20"/>
        </w:rPr>
        <w:t xml:space="preserve">  Which group remained invisible longest in your canvas? Why?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20"/>
          <w:szCs w:val="20"/>
        </w:rPr>
        <w:t xml:space="preserve">  Which box was hardest to fill in, and which perspective (consequences, rights, character) helped you?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headerReference w:type="first" r:id="rId11"/>
      <w:footerReference w:type="first" r:id="rId12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Based on The Ethics Canvas – ADAPT Centre &amp; Trinity College Dublin – CC BY-SA 3.0 – https://www.ethicscanvas.org/ (simplified).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a69f0678e016afb5204f0b7c4292ff7c10e987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MW29 The buddy app (Higher education HRM, EN, student version)</dc:title>
  <dc:creator>Moreel Vakmanschap</dc:creator>
  <cp:lastModifiedBy>Moral Craftsmanship</cp:lastModifiedBy>
  <cp:revision>1</cp:revision>
  <dcterms:created xsi:type="dcterms:W3CDTF">2026-09-30T08:50:13.250Z</dcterms:created>
  <dcterms:modified xsi:type="dcterms:W3CDTF">2026-09-30T08:50:13.268Z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