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4ECDC4" w:sz="24"/>
              <w:right w:val="none" w:color="FFFFFF" w:sz="0"/>
            </w:tcBorders>
            <w:shd w:fill="B5446E"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MW34 — VRAGENKAARTEN VOOR TECHNOLOGIE · HRM</w:t>
            </w:r>
          </w:p>
          <w:p>
            <w:pPr>
              <w:spacing w:after="40" w:line="250"/>
            </w:pPr>
            <w:r>
              <w:rPr>
                <w:rFonts w:ascii="Arial" w:cs="Arial" w:eastAsia="Arial" w:hAnsi="Arial"/>
                <w:b/>
                <w:bCs/>
                <w:color w:val="FFFFFF"/>
                <w:sz w:val="34"/>
                <w:szCs w:val="34"/>
              </w:rPr>
              <w:t xml:space="preserve">De rit-app voor bezorgers</w:t>
            </w:r>
          </w:p>
          <w:p>
            <w:pPr>
              <w:spacing w:after="0"/>
            </w:pPr>
            <w:r>
              <w:rPr>
                <w:rFonts w:ascii="Arial" w:cs="Arial" w:eastAsia="Arial" w:hAnsi="Arial"/>
                <w:color w:val="DDE6F0"/>
                <w:sz w:val="19"/>
                <w:szCs w:val="19"/>
              </w:rPr>
              <w:t xml:space="preserve">Casus: een fietskoeriersbedrijf</w:t>
            </w:r>
          </w:p>
        </w:tc>
        <w:tc>
          <w:tcPr>
            <w:tcW w:type="dxa" w:w="2606"/>
            <w:tcBorders>
              <w:top w:val="none" w:color="FFFFFF" w:sz="0"/>
              <w:left w:val="none" w:color="FFFFFF" w:sz="0"/>
              <w:bottom w:val="single" w:color="4ECDC4"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     Duur: 75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4ECDC4" w:sz="6"/>
              <w:left w:val="single" w:color="4ECDC4" w:sz="6"/>
              <w:bottom w:val="single" w:color="4ECDC4" w:sz="6"/>
              <w:right w:val="single" w:color="4ECDC4"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7E8EE"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Een fietskoeriersbedrijf laat een app bouwen die bezorgers volgt. De app meet snelheid, route en pauzes, en geeft na elke shift een score. Wie hoog scoort, krijgt eerder ritten toegewezen. Het bedrijf zegt: “Zo belonen we goed werk.”</w:t>
            </w:r>
          </w:p>
          <w:p>
            <w:pPr>
              <w:spacing w:after="100" w:line="288"/>
            </w:pPr>
            <w:r>
              <w:rPr>
                <w:rFonts w:ascii="Arial" w:cs="Arial" w:eastAsia="Arial" w:hAnsi="Arial"/>
                <w:sz w:val="21"/>
                <w:szCs w:val="21"/>
              </w:rPr>
              <w:t xml:space="preserve">HR-adviseur Yasmin praat met bezorgers. Eén vertelt dat hij door een rood licht rijdt om zijn score te houden. Een ander zegt: “Als het regent, val ik lager uit, en dat kan ik niet helpen.” De teamleider vindt het juist eerlijk: “Nu zien we eindelijk wie werkt.”</w:t>
            </w:r>
          </w:p>
          <w:p>
            <w:pPr>
              <w:spacing w:after="40" w:line="288"/>
            </w:pPr>
            <w:r>
              <w:rPr>
                <w:rFonts w:ascii="Arial" w:cs="Arial" w:eastAsia="Arial" w:hAnsi="Arial"/>
                <w:sz w:val="21"/>
                <w:szCs w:val="21"/>
              </w:rPr>
              <w:t xml:space="preserve">De directie wil de app volgende maand landelijk uitrollen. Yasmin krijgt één middag om de risico’s in kaart te brengen. Ze pakt vier kaartsets: ethiek, recht, privacy en veiligheid.</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Verdeel de vier sets over de groep.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Beantwoord de vragen van jouw set. Noteer de risico’s op het procesbord.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Leg de risico’s naast elkaar. Geef elk een ernst: 1, 2 of 3.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Kies per risico een maatregel en een eigenaar.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Kies de eerste stap voor morgen. Vergelijk met een andere groep. </w:t>
      </w:r>
      <w:r>
        <w:rPr>
          <w:rFonts w:ascii="Arial" w:cs="Arial" w:eastAsia="Arial" w:hAnsi="Arial"/>
          <w:i/>
          <w:iCs/>
          <w:color w:val="5F5E5A"/>
          <w:sz w:val="18"/>
          <w:szCs w:val="18"/>
        </w:rPr>
        <w:t xml:space="preserve">(15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VIER VRAGENSETS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11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5446E"/>
                <w:sz w:val="18"/>
                <w:szCs w:val="18"/>
              </w:rPr>
              <w:t xml:space="preserve">Ethiek</w:t>
            </w:r>
          </w:p>
          <w:p>
            <w:pPr>
              <w:spacing w:after="0" w:line="220"/>
            </w:pPr>
            <w:r>
              <w:rPr>
                <w:rFonts w:ascii="Arial" w:cs="Arial" w:eastAsia="Arial" w:hAnsi="Arial"/>
                <w:i/>
                <w:iCs/>
                <w:color w:val="5F5E5A"/>
                <w:sz w:val="15"/>
                <w:szCs w:val="15"/>
              </w:rPr>
              <w:t xml:space="preserve">Is het eerlijk? Wie wint en wie verliest? Wat doet het met de waardigheid van bezorgers?</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5446E"/>
                <w:sz w:val="18"/>
                <w:szCs w:val="18"/>
              </w:rPr>
              <w:t xml:space="preserve">Recht</w:t>
            </w:r>
          </w:p>
          <w:p>
            <w:pPr>
              <w:spacing w:after="0" w:line="220"/>
            </w:pPr>
            <w:r>
              <w:rPr>
                <w:rFonts w:ascii="Arial" w:cs="Arial" w:eastAsia="Arial" w:hAnsi="Arial"/>
                <w:i/>
                <w:iCs/>
                <w:color w:val="5F5E5A"/>
                <w:sz w:val="15"/>
                <w:szCs w:val="15"/>
              </w:rPr>
              <w:t xml:space="preserve">Wat mag het bedrijf? Welke regels gelden voor arbeid en gegevens?</w:t>
            </w:r>
          </w:p>
        </w:tc>
      </w:tr>
      <w:tr>
        <w:trPr>
          <w:trHeight w:val="11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5446E"/>
                <w:sz w:val="18"/>
                <w:szCs w:val="18"/>
              </w:rPr>
              <w:t xml:space="preserve">Privacy</w:t>
            </w:r>
          </w:p>
          <w:p>
            <w:pPr>
              <w:spacing w:after="0" w:line="220"/>
            </w:pPr>
            <w:r>
              <w:rPr>
                <w:rFonts w:ascii="Arial" w:cs="Arial" w:eastAsia="Arial" w:hAnsi="Arial"/>
                <w:i/>
                <w:iCs/>
                <w:color w:val="5F5E5A"/>
                <w:sz w:val="15"/>
                <w:szCs w:val="15"/>
              </w:rPr>
              <w:t xml:space="preserve">Welke gegevens worden verzameld? Wat weten bezorgers en wie ziet mee?</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B5446E"/>
                <w:sz w:val="18"/>
                <w:szCs w:val="18"/>
              </w:rPr>
              <w:t xml:space="preserve">Veiligheid</w:t>
            </w:r>
          </w:p>
          <w:p>
            <w:pPr>
              <w:spacing w:after="0" w:line="220"/>
            </w:pPr>
            <w:r>
              <w:rPr>
                <w:rFonts w:ascii="Arial" w:cs="Arial" w:eastAsia="Arial" w:hAnsi="Arial"/>
                <w:i/>
                <w:iCs/>
                <w:color w:val="5F5E5A"/>
                <w:sz w:val="15"/>
                <w:szCs w:val="15"/>
              </w:rPr>
              <w:t xml:space="preserve">Wat betekent de score voor verkeersveiligheid en stress?</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HET PROCESBORD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3806"/>
        <w:gridCol w:w="1600"/>
      </w:tblGrid>
      <w:tr>
        <w:trPr>
          <w:tblHeader/>
        </w:trPr>
        <w:tc>
          <w:tcPr>
            <w:tcW w:type="dxa" w:w="3200"/>
            <w:tcBorders>
              <w:top w:val="single" w:color="BFC5CC" w:sz="4"/>
              <w:left w:val="single" w:color="BFC5CC" w:sz="4"/>
              <w:bottom w:val="single" w:color="BFC5CC" w:sz="4"/>
              <w:right w:val="single" w:color="BFC5CC" w:sz="4"/>
            </w:tcBorders>
            <w:shd w:fill="B5446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Risico</w:t>
            </w:r>
          </w:p>
        </w:tc>
        <w:tc>
          <w:tcPr>
            <w:tcW w:type="dxa" w:w="1300"/>
            <w:tcBorders>
              <w:top w:val="single" w:color="BFC5CC" w:sz="4"/>
              <w:left w:val="single" w:color="BFC5CC" w:sz="4"/>
              <w:bottom w:val="single" w:color="BFC5CC" w:sz="4"/>
              <w:right w:val="single" w:color="BFC5CC" w:sz="4"/>
            </w:tcBorders>
            <w:shd w:fill="B5446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Ernst (1–3)</w:t>
            </w:r>
          </w:p>
        </w:tc>
        <w:tc>
          <w:tcPr>
            <w:tcW w:type="dxa" w:w="3806"/>
            <w:tcBorders>
              <w:top w:val="single" w:color="BFC5CC" w:sz="4"/>
              <w:left w:val="single" w:color="BFC5CC" w:sz="4"/>
              <w:bottom w:val="single" w:color="BFC5CC" w:sz="4"/>
              <w:right w:val="single" w:color="BFC5CC" w:sz="4"/>
            </w:tcBorders>
            <w:shd w:fill="B5446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Maatregel</w:t>
            </w:r>
          </w:p>
        </w:tc>
        <w:tc>
          <w:tcPr>
            <w:tcW w:type="dxa" w:w="1600"/>
            <w:tcBorders>
              <w:top w:val="single" w:color="BFC5CC" w:sz="4"/>
              <w:left w:val="single" w:color="BFC5CC" w:sz="4"/>
              <w:bottom w:val="single" w:color="BFC5CC" w:sz="4"/>
              <w:right w:val="single" w:color="BFC5CC" w:sz="4"/>
            </w:tcBorders>
            <w:shd w:fill="B5446E"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Eigenaar</w:t>
            </w:r>
          </w:p>
        </w:tc>
      </w:tr>
      <w:tr>
        <w:trPr>
          <w:trHeight w:val="620" w:hRule="atLeast"/>
        </w:trPr>
        <w:tc>
          <w:tcPr>
            <w:tcW w:type="dxa" w:w="3200"/>
            <w:tcBorders>
              <w:top w:val="single" w:color="BFC5CC" w:sz="4"/>
              <w:left w:val="single" w:color="BFC5CC" w:sz="4"/>
              <w:bottom w:val="single" w:color="BFC5CC" w:sz="4"/>
              <w:right w:val="single" w:color="BFC5CC" w:sz="4"/>
            </w:tcBorders>
            <w:shd w:fill="F7E8EE" w:color="auto" w:val="clear"/>
            <w:tcMar>
              <w:top w:type="dxa" w:w="80"/>
              <w:left w:type="dxa" w:w="110"/>
              <w:bottom w:type="dxa" w:w="80"/>
              <w:right w:type="dxa" w:w="110"/>
            </w:tcMar>
          </w:tcPr>
          <w:p>
            <w:pPr>
              <w:spacing w:after="20"/>
            </w:pPr>
            <w:r>
              <w:rPr>
                <w:rFonts w:ascii="Arial" w:cs="Arial" w:eastAsia="Arial" w:hAnsi="Arial"/>
                <w:b/>
                <w:bCs/>
                <w:color w:val="B5446E"/>
                <w:sz w:val="19"/>
                <w:szCs w:val="19"/>
              </w:rPr>
              <w:t xml:space="preserve">1.</w:t>
            </w:r>
          </w:p>
        </w:tc>
        <w:tc>
          <w:tcPr>
            <w:tcW w:type="dxa" w:w="1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200"/>
            <w:tcBorders>
              <w:top w:val="single" w:color="BFC5CC" w:sz="4"/>
              <w:left w:val="single" w:color="BFC5CC" w:sz="4"/>
              <w:bottom w:val="single" w:color="BFC5CC" w:sz="4"/>
              <w:right w:val="single" w:color="BFC5CC" w:sz="4"/>
            </w:tcBorders>
            <w:shd w:fill="F7E8EE" w:color="auto" w:val="clear"/>
            <w:tcMar>
              <w:top w:type="dxa" w:w="80"/>
              <w:left w:type="dxa" w:w="110"/>
              <w:bottom w:type="dxa" w:w="80"/>
              <w:right w:type="dxa" w:w="110"/>
            </w:tcMar>
          </w:tcPr>
          <w:p>
            <w:pPr>
              <w:spacing w:after="20"/>
            </w:pPr>
            <w:r>
              <w:rPr>
                <w:rFonts w:ascii="Arial" w:cs="Arial" w:eastAsia="Arial" w:hAnsi="Arial"/>
                <w:b/>
                <w:bCs/>
                <w:color w:val="B5446E"/>
                <w:sz w:val="19"/>
                <w:szCs w:val="19"/>
              </w:rPr>
              <w:t xml:space="preserve">2.</w:t>
            </w:r>
          </w:p>
        </w:tc>
        <w:tc>
          <w:tcPr>
            <w:tcW w:type="dxa" w:w="1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200"/>
            <w:tcBorders>
              <w:top w:val="single" w:color="BFC5CC" w:sz="4"/>
              <w:left w:val="single" w:color="BFC5CC" w:sz="4"/>
              <w:bottom w:val="single" w:color="BFC5CC" w:sz="4"/>
              <w:right w:val="single" w:color="BFC5CC" w:sz="4"/>
            </w:tcBorders>
            <w:shd w:fill="F7E8EE" w:color="auto" w:val="clear"/>
            <w:tcMar>
              <w:top w:type="dxa" w:w="80"/>
              <w:left w:type="dxa" w:w="110"/>
              <w:bottom w:type="dxa" w:w="80"/>
              <w:right w:type="dxa" w:w="110"/>
            </w:tcMar>
          </w:tcPr>
          <w:p>
            <w:pPr>
              <w:spacing w:after="20"/>
            </w:pPr>
            <w:r>
              <w:rPr>
                <w:rFonts w:ascii="Arial" w:cs="Arial" w:eastAsia="Arial" w:hAnsi="Arial"/>
                <w:b/>
                <w:bCs/>
                <w:color w:val="B5446E"/>
                <w:sz w:val="19"/>
                <w:szCs w:val="19"/>
              </w:rPr>
              <w:t xml:space="preserve">3.</w:t>
            </w:r>
          </w:p>
        </w:tc>
        <w:tc>
          <w:tcPr>
            <w:tcW w:type="dxa" w:w="1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200"/>
            <w:tcBorders>
              <w:top w:val="single" w:color="BFC5CC" w:sz="4"/>
              <w:left w:val="single" w:color="BFC5CC" w:sz="4"/>
              <w:bottom w:val="single" w:color="BFC5CC" w:sz="4"/>
              <w:right w:val="single" w:color="BFC5CC" w:sz="4"/>
            </w:tcBorders>
            <w:shd w:fill="F7E8EE" w:color="auto" w:val="clear"/>
            <w:tcMar>
              <w:top w:type="dxa" w:w="80"/>
              <w:left w:type="dxa" w:w="110"/>
              <w:bottom w:type="dxa" w:w="80"/>
              <w:right w:type="dxa" w:w="110"/>
            </w:tcMar>
          </w:tcPr>
          <w:p>
            <w:pPr>
              <w:spacing w:after="20"/>
            </w:pPr>
            <w:r>
              <w:rPr>
                <w:rFonts w:ascii="Arial" w:cs="Arial" w:eastAsia="Arial" w:hAnsi="Arial"/>
                <w:b/>
                <w:bCs/>
                <w:color w:val="B5446E"/>
                <w:sz w:val="19"/>
                <w:szCs w:val="19"/>
              </w:rPr>
              <w:t xml:space="preserve">4.</w:t>
            </w:r>
          </w:p>
        </w:tc>
        <w:tc>
          <w:tcPr>
            <w:tcW w:type="dxa" w:w="1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spacing w:after="0"/>
      </w:pPr>
      <w:r>
        <w:rPr>
          <w:rFonts w:ascii="Arial" w:cs="Arial" w:eastAsia="Arial" w:hAnsi="Arial"/>
          <w:b/>
          <w:bCs/>
          <w:sz w:val="20"/>
          <w:szCs w:val="20"/>
        </w:rPr>
        <w:t xml:space="preserve">Onze eerste stap voor morgen:</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 risico kwam alleen naar boven door één van de vier sets? Wat zegt dat?</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zegt of doet Yasmin morgen als eerste tegenover de directie?</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Gebaseerd op The Moral-IT Deck – Urquhart &amp; Craigon, University of Nottingham (methode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84fd4f23749a05aa9514633a34ac60cd82f15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MW34 De rit-app voor bezorgers (HBO HRM, NL)</dc:title>
  <dc:creator>Moreel Vakmanschap</dc:creator>
  <cp:lastModifiedBy>Un-named</cp:lastModifiedBy>
  <cp:revision>1</cp:revision>
  <dcterms:created xsi:type="dcterms:W3CDTF">2026-09-30T09:24:24.368Z</dcterms:created>
  <dcterms:modified xsi:type="dcterms:W3CDTF">2026-09-30T09:24:24.369Z</dcterms:modified>
</cp:coreProperties>
</file>

<file path=docProps/custom.xml><?xml version="1.0" encoding="utf-8"?>
<Properties xmlns="http://schemas.openxmlformats.org/officeDocument/2006/custom-properties" xmlns:vt="http://schemas.openxmlformats.org/officeDocument/2006/docPropsVTypes"/>
</file>