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0B429" w:sz="24"/>
              <w:right w:val="none" w:color="FFFFFF" w:sz="0"/>
            </w:tcBorders>
            <w:shd w:fill="3B6EA8"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MW36</w:t>
            </w:r>
          </w:p>
          <w:p>
            <w:pPr>
              <w:spacing w:after="40" w:line="250"/>
            </w:pPr>
            <w:r>
              <w:rPr>
                <w:rFonts w:ascii="Arial" w:cs="Arial" w:eastAsia="Arial" w:hAnsi="Arial"/>
                <w:b/>
                <w:bCs/>
                <w:color w:val="FFFFFF"/>
                <w:sz w:val="34"/>
                <w:szCs w:val="34"/>
              </w:rPr>
              <w:t xml:space="preserve">One budget, two programmes</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F0B429"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examine an HR dilemma through four ethical lenses. (Weighing)</w:t>
      </w:r>
    </w:p>
    <w:p>
      <w:pPr>
        <w:pStyle w:val="ListParagraph"/>
        <w:numPr>
          <w:ilvl w:val="0"/>
          <w:numId w:val="2"/>
        </w:numPr>
        <w:spacing w:after="40" w:line="260"/>
      </w:pPr>
      <w:r>
        <w:rPr>
          <w:rFonts w:ascii="Arial" w:cs="Arial" w:eastAsia="Arial" w:hAnsi="Arial"/>
          <w:sz w:val="19"/>
          <w:szCs w:val="19"/>
        </w:rPr>
        <w:t xml:space="preserve">The student can explain how the lenses can lead to different choices. (Weighing)</w:t>
      </w:r>
    </w:p>
    <w:p>
      <w:pPr>
        <w:pStyle w:val="ListParagraph"/>
        <w:numPr>
          <w:ilvl w:val="0"/>
          <w:numId w:val="2"/>
        </w:numPr>
        <w:spacing w:after="40" w:line="260"/>
      </w:pPr>
      <w:r>
        <w:rPr>
          <w:rFonts w:ascii="Arial" w:cs="Arial" w:eastAsia="Arial" w:hAnsi="Arial"/>
          <w:sz w:val="19"/>
          <w:szCs w:val="19"/>
        </w:rPr>
        <w:t xml:space="preserve">The student can substantiate a choice and name the lens that weighs most heavily for them. (Weighing)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HR adviser weighs the interests of management, high potentials and older colleagues within the budget and culture of the organisation.</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way the company organises its training budget and how it values employees.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management, team leader and several employees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equal treatment is in the background, but the core is policy within this company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student version printed double-sided, pens, timer. Groups of 2–4. Allow 60 minutes; at research universities you can take extra time to critique the lenses.</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let students apply the lenses first before offering criticism. Ask: “Which facts are still missing?” and not: “What is the right answer?”</w:t>
      </w:r>
    </w:p>
    <w:p>
      <w:pPr>
        <w:pStyle w:val="ListParagraph"/>
        <w:numPr>
          <w:ilvl w:val="0"/>
          <w:numId w:val="2"/>
        </w:numPr>
        <w:spacing w:after="40" w:line="260"/>
      </w:pPr>
      <w:r>
        <w:rPr>
          <w:rFonts w:ascii="Arial" w:cs="Arial" w:eastAsia="Arial" w:hAnsi="Arial"/>
          <w:b/>
          <w:bCs/>
          <w:sz w:val="19"/>
          <w:szCs w:val="19"/>
        </w:rPr>
        <w:t xml:space="preserve">Source and licence: </w:t>
      </w:r>
      <w:r>
        <w:rPr>
          <w:rFonts w:ascii="Arial" w:cs="Arial" w:eastAsia="Arial" w:hAnsi="Arial"/>
          <w:sz w:val="19"/>
          <w:szCs w:val="19"/>
        </w:rPr>
        <w:t xml:space="preserve">the four lenses have been adapted in our own words from Matthews (2019), CC BY 4.0. The worksheet has been shortened and given an original case, and is licensed under CC BY-SA 4.0. Check “except where otherwise noted” for each chapter before using more.</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Students look for “the right lens”. Stress that the lenses ask questions and do not give answers.</w:t>
      </w:r>
    </w:p>
    <w:p>
      <w:pPr>
        <w:pStyle w:val="ListParagraph"/>
        <w:numPr>
          <w:ilvl w:val="0"/>
          <w:numId w:val="2"/>
        </w:numPr>
        <w:spacing w:after="40" w:line="260"/>
      </w:pPr>
      <w:r>
        <w:rPr>
          <w:rFonts w:ascii="Arial" w:cs="Arial" w:eastAsia="Arial" w:hAnsi="Arial"/>
          <w:sz w:val="19"/>
          <w:szCs w:val="19"/>
        </w:rPr>
        <w:t xml:space="preserve">Consequences are reduced to costs. Ask about the effect on trust, opportunities and health.</w:t>
      </w:r>
    </w:p>
    <w:p>
      <w:pPr>
        <w:pStyle w:val="ListParagraph"/>
        <w:numPr>
          <w:ilvl w:val="0"/>
          <w:numId w:val="2"/>
        </w:numPr>
        <w:spacing w:after="40" w:line="260"/>
      </w:pPr>
      <w:r>
        <w:rPr>
          <w:rFonts w:ascii="Arial" w:cs="Arial" w:eastAsia="Arial" w:hAnsi="Arial"/>
          <w:sz w:val="19"/>
          <w:szCs w:val="19"/>
        </w:rPr>
        <w:t xml:space="preserve">Care becomes “being nice”. Ask about relationships and vulnerability: who cannot stand up for themselves?</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THE FOUR LENSES IN BRIEF (IN OUR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c>
          <w:tcPr>
            <w:tcW w:type="dxa" w:w="2800"/>
            <w:tcBorders>
              <w:top w:val="single" w:color="BFC5CC" w:sz="4"/>
              <w:left w:val="single" w:color="BFC5CC" w:sz="4"/>
              <w:bottom w:val="single" w:color="BFC5CC" w:sz="4"/>
              <w:right w:val="single" w:color="BFC5CC" w:sz="4"/>
            </w:tcBorders>
            <w:shd w:fill="3B6EA8"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Lens</w:t>
            </w:r>
          </w:p>
        </w:tc>
        <w:tc>
          <w:tcPr>
            <w:tcW w:type="dxa" w:w="7106"/>
            <w:tcBorders>
              <w:top w:val="single" w:color="BFC5CC" w:sz="4"/>
              <w:left w:val="single" w:color="BFC5CC" w:sz="4"/>
              <w:bottom w:val="single" w:color="BFC5CC" w:sz="4"/>
              <w:right w:val="single" w:color="BFC5CC" w:sz="4"/>
            </w:tcBorders>
            <w:shd w:fill="3B6EA8"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Core question</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Consequences (utilitarianism)</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Which choice produces the most wellbeing for everyone affected?</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Duties and rights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Which rules or promises apply, even if they deliver nothing? What must not be done to anyone?</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Virtues</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What would someone of good character (honest, courageous, just) do here?</w:t>
            </w:r>
          </w:p>
        </w:tc>
      </w:tr>
      <w:tr>
        <w:tc>
          <w:tcPr>
            <w:tcW w:type="dxa" w:w="2800"/>
            <w:tcBorders>
              <w:top w:val="single" w:color="BFC5CC" w:sz="4"/>
              <w:left w:val="single" w:color="BFC5CC" w:sz="4"/>
              <w:bottom w:val="single" w:color="BFC5CC" w:sz="4"/>
              <w:right w:val="single" w:color="BFC5CC" w:sz="4"/>
            </w:tcBorders>
            <w:shd w:fill="E6EEF7" w:color="auto" w:val="clear"/>
            <w:tcMar>
              <w:top w:type="dxa" w:w="60"/>
              <w:left w:type="dxa" w:w="100"/>
              <w:bottom w:type="dxa" w:w="60"/>
              <w:right w:type="dxa" w:w="100"/>
            </w:tcMar>
          </w:tcPr>
          <w:p>
            <w:pPr>
              <w:spacing w:after="20" w:line="232"/>
            </w:pPr>
            <w:r>
              <w:rPr>
                <w:rFonts w:ascii="Arial" w:cs="Arial" w:eastAsia="Arial" w:hAnsi="Arial"/>
                <w:b/>
                <w:bCs/>
                <w:color w:val="3B6EA8"/>
                <w:sz w:val="17"/>
                <w:szCs w:val="17"/>
              </w:rPr>
              <w:t xml:space="preserve">Care</w:t>
            </w:r>
          </w:p>
        </w:tc>
        <w:tc>
          <w:tcPr>
            <w:tcW w:type="dxa" w:w="71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Who is dependent or vulnerable, and how do we maintain the relationship?</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(40 min): </w:t>
      </w:r>
      <w:r>
        <w:rPr>
          <w:rFonts w:ascii="Arial" w:cs="Arial" w:eastAsia="Arial" w:hAnsi="Arial"/>
          <w:sz w:val="19"/>
          <w:szCs w:val="19"/>
        </w:rPr>
        <w:t xml:space="preserve">let groups work out two lenses and share in plenary.</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a shared document with four columns.</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give each group one lens and combine in plenary.</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spacing w:after="40" w:line="240"/>
        <w:ind w:left="360" w:hanging="360"/>
      </w:pPr>
      <w:r>
        <w:rPr>
          <w:rFonts w:ascii="Arial" w:cs="Arial" w:eastAsia="Arial" w:hAnsi="Arial"/>
          <w:color w:val="333333"/>
          <w:sz w:val="16"/>
          <w:szCs w:val="16"/>
        </w:rPr>
        <w:t xml:space="preserve">Matthews, G. (Ed.). (2019). Introduction to philosophy: Ethics. Rebus Community. https://press.rebus.community/intro-to-phil-ethics/</w:t>
      </w:r>
    </w:p>
    <w:p>
      <w:pPr/>
      <w:r/>
      <w:r>
        <w:rPr>
          <w:i/>
        </w:rPr>
        <w:t>Meijer, K. M. T. (2023). Impossible and inevitable: Reconstructing the critique of business ethics [Doctoral dissertation, Tilburg University]. Ridderprint. https://research.tilburguniversity.edu/en/publications/impossible-and-inevitable-reconstructing-the-critique-of-business/</w:t>
      </w:r>
    </w:p>
    <w:p>
      <w:pPr>
        <w:spacing w:after="0" w:before="40"/>
      </w:pPr>
      <w:r>
        <w:rPr>
          <w:rFonts w:ascii="Arial" w:cs="Arial" w:eastAsia="Arial" w:hAnsi="Arial"/>
          <w:i/>
          <w:iCs/>
          <w:color w:val="5F5E5A"/>
          <w:sz w:val="15"/>
          <w:szCs w:val="15"/>
        </w:rPr>
        <w:t xml:space="preserve">Complexity determined using the research group’s working definition, classified according to the micro – meso – macro distinction (working definition, Lectoraat Ethisch Werken / Professorship Ethical Work, Fontys; inspired by the work of Meijer, 2023).</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Adapted from: Introduction to Philosophy: Ethics – G. Matthews (Ed.), Rebus Community – CC BY 4.0 – https://press.rebus.community/intro-to-phil-ethics/. Changes: shortened and given an original case by Moral Craftsmanship.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MW36 One budget, two programmes (Higher education HRM, EN, teacher version)</dc:title>
  <dc:creator>Moreel Vakmanschap</dc:creator>
  <cp:lastModifiedBy>Moral Craftsmanship</cp:lastModifiedBy>
  <cp:revision>1</cp:revision>
  <dcterms:created xsi:type="dcterms:W3CDTF">2026-09-30T11:01:59.293Z</dcterms:created>
  <dcterms:modified xsi:type="dcterms:W3CDTF">2026-09-30T11:01:59.293Z</dcterms:modified>
  <dc:language>en-GB</dc:language>
</cp:coreProperties>
</file>

<file path=docProps/custom.xml><?xml version="1.0" encoding="utf-8"?>
<Properties xmlns="http://schemas.openxmlformats.org/officeDocument/2006/custom-properties" xmlns:vt="http://schemas.openxmlformats.org/officeDocument/2006/docPropsVTypes"/>
</file>