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Layout w:type="fixed"/>
      </w:tblPr>
      <w:tblGrid>
        <w:gridCol w:w="7300"/>
        <w:gridCol w:w="2606"/>
      </w:tblGrid>
      <w:tr>
        <w:trPr>
          <w:cantSplit/>
        </w:trPr>
        <w:tc>
          <w:tcPr>
            <w:tcW w:type="dxa" w:w="7300"/>
            <w:tcBorders>
              <w:top w:val="none" w:color="FFFFFF" w:sz="0"/>
              <w:left w:val="none" w:color="FFFFFF" w:sz="0"/>
              <w:bottom w:val="single" w:color="D4A373" w:sz="24"/>
              <w:right w:val="none" w:color="FFFFFF" w:sz="0"/>
            </w:tcBorders>
            <w:shd w:fill="3F5E5A" w:color="auto" w:val="clear"/>
            <w:tcMar>
              <w:top w:type="dxa" w:w="140"/>
              <w:left w:type="dxa" w:w="220"/>
              <w:bottom w:type="dxa" w:w="140"/>
              <w:right w:type="dxa" w:w="120"/>
            </w:tcMar>
          </w:tcPr>
          <w:p>
            <w:pPr>
              <w:spacing w:after="40" w:before="0"/>
            </w:pPr>
            <w:r>
              <w:rPr>
                <w:rFonts w:ascii="Arial" w:cs="Arial" w:eastAsia="Arial" w:hAnsi="Arial"/>
                <w:b/>
                <w:bCs/>
                <w:color w:val="F3C98B"/>
                <w:spacing w:val="30"/>
                <w:sz w:val="16"/>
                <w:szCs w:val="16"/>
              </w:rPr>
              <w:t xml:space="preserve">TEACHER VERSION · MW47</w:t>
            </w:r>
          </w:p>
          <w:p>
            <w:pPr>
              <w:spacing w:after="40" w:before="0" w:line="250"/>
            </w:pPr>
            <w:r>
              <w:rPr>
                <w:rFonts w:ascii="Arial" w:cs="Arial" w:eastAsia="Arial" w:hAnsi="Arial"/>
                <w:b/>
                <w:bCs/>
                <w:color w:val="FFFFFF"/>
                <w:sz w:val="34"/>
                <w:szCs w:val="34"/>
              </w:rPr>
              <w:t xml:space="preserve">The chair speaks last</w:t>
            </w:r>
          </w:p>
          <w:p>
            <w:pPr>
              <w:spacing w:after="0" w:before="0"/>
            </w:pPr>
            <w:r>
              <w:rPr>
                <w:rFonts w:ascii="Arial" w:cs="Arial" w:eastAsia="Arial" w:hAnsi="Arial"/>
                <w:color w:val="DDE6F0"/>
                <w:sz w:val="19"/>
                <w:szCs w:val="19"/>
              </w:rPr>
              <w:t xml:space="preserve">Suitable for: Vocational · Applied · Academic · HRM · English · to accompany the student version</w:t>
            </w:r>
          </w:p>
        </w:tc>
        <w:tc>
          <w:tcPr>
            <w:tcW w:type="dxa" w:w="2606"/>
            <w:tcBorders>
              <w:top w:val="none" w:color="FFFFFF" w:sz="0"/>
              <w:left w:val="none" w:color="FFFFFF" w:sz="0"/>
              <w:bottom w:val="single" w:color="D4A373" w:sz="24"/>
              <w:right w:val="none" w:color="FFFFFF" w:sz="0"/>
            </w:tcBorders>
            <w:shd w:fill="993556" w:color="auto" w:val="clear"/>
            <w:tcMar>
              <w:top w:type="dxa" w:w="100"/>
              <w:left w:type="dxa" w:w="100"/>
              <w:bottom w:type="dxa" w:w="100"/>
              <w:right w:type="dxa" w:w="100"/>
            </w:tcMar>
            <w:vAlign w:val="center"/>
          </w:tcPr>
          <w:p>
            <w:pPr>
              <w:spacing w:after="30" w:before="0"/>
              <w:jc w:val="center"/>
            </w:pPr>
            <w:r>
              <w:rPr>
                <w:rFonts w:ascii="Arial" w:cs="Arial" w:eastAsia="Arial" w:hAnsi="Arial"/>
                <w:b/>
                <w:bCs/>
                <w:color w:val="F5D9E2"/>
                <w:spacing w:val="30"/>
                <w:sz w:val="14"/>
                <w:szCs w:val="14"/>
              </w:rPr>
              <w:t xml:space="preserve">COMPLEXITY</w:t>
            </w:r>
          </w:p>
          <w:p>
            <w:pPr>
              <w:spacing w:after="0" w:before="0"/>
              <w:jc w:val="center"/>
            </w:pPr>
            <w:r>
              <w:rPr>
                <w:rFonts w:ascii="Arial" w:cs="Arial" w:eastAsia="Arial" w:hAnsi="Arial"/>
                <w:b/>
                <w:bCs/>
                <w:color w:val="FFFFFF"/>
                <w:sz w:val="26"/>
                <w:szCs w:val="26"/>
              </w:rPr>
              <w:t xml:space="preserve">MESO ★★☆</w:t>
            </w:r>
          </w:p>
        </w:tc>
      </w:tr>
    </w:tbl>
    <w:p>
      <w:pPr>
        <w:spacing w:after="40" w:before="0"/>
      </w:pPr>
      <w:r>
        <w:rPr>
          <w:rFonts w:ascii="Arial" w:cs="Arial" w:eastAsia="Arial" w:hAnsi="Arial"/>
          <w:sz w:val="10"/>
          <w:szCs w:val="10"/>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LEARNING OUTCOMES</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The student can, as chair, listen, summarise and only then decide. (Weighing, Acting)</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The student can name which voices return in a decision and which are missing. (Weighing)</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The student can explain how a decision does justice to both the team and the boundaries of the organisation. (Acting)</w:t>
      </w:r>
    </w:p>
    <w:p>
      <w:pPr>
        <w:keepNext/>
        <w:pBdr>
          <w:bottom w:val="single" w:color="5B2D8E" w:sz="8" w:space="2"/>
        </w:pBdr>
        <w:spacing w:after="90" w:before="200"/>
      </w:pPr>
      <w:r>
        <w:rPr>
          <w:rFonts w:ascii="Arial" w:cs="Arial" w:eastAsia="Arial" w:hAnsi="Arial"/>
          <w:b/>
          <w:bCs/>
          <w:color w:val="5B2D8E"/>
          <w:spacing w:val="30"/>
          <w:sz w:val="20"/>
          <w:szCs w:val="20"/>
        </w:rPr>
        <w:t xml:space="preserve">COMPLEXITY: WHY MESO?</w:t>
      </w:r>
    </w:p>
    <w:p>
      <w:pPr>
        <w:spacing w:after="60" w:before="0" w:line="264"/>
      </w:pPr>
      <w:r>
        <w:rPr>
          <w:rFonts w:ascii="Arial" w:cs="Arial" w:eastAsia="Arial" w:hAnsi="Arial"/>
          <w:b/>
          <w:bCs/>
          <w:sz w:val="20"/>
          <w:szCs w:val="20"/>
        </w:rPr>
        <w:t xml:space="preserve">Meso: Anouk does not decide alone; the demands of management, the culture of the team and several stakeholders determine what is possible.</w:t>
      </w:r>
    </w:p>
    <w:p>
      <w:pPr>
        <w:spacing w:after="70" w:before="0"/>
      </w:pPr>
      <w:r>
        <w:rPr>
          <w:rFonts w:ascii="Arial" w:cs="Arial" w:eastAsia="Arial" w:hAnsi="Arial"/>
          <w:i/>
          <w:iCs/>
          <w:color w:val="5F5E5A"/>
          <w:sz w:val="15"/>
          <w:szCs w:val="15"/>
        </w:rPr>
        <w:t xml:space="preserve">Classified according to the micro – meso – macro distinction (working definition, Lectoraat Ethisch Werken / Professorship Ethical Work, Fontys; inspired by the work of Meijer, 2023).</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Test: </w:t>
      </w:r>
      <w:r>
        <w:rPr>
          <w:rFonts w:ascii="Arial" w:cs="Arial" w:eastAsia="Arial" w:hAnsi="Arial"/>
          <w:sz w:val="20"/>
          <w:szCs w:val="20"/>
        </w:rPr>
        <w:t xml:space="preserve">“Who or what would have to change for this dilemma to disappear?” Answer: the way decisions are made and the culture in the organisation. That is Meso.</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Not Micro: </w:t>
      </w:r>
      <w:r>
        <w:rPr>
          <w:rFonts w:ascii="Arial" w:cs="Arial" w:eastAsia="Arial" w:hAnsi="Arial"/>
          <w:sz w:val="20"/>
          <w:szCs w:val="20"/>
        </w:rPr>
        <w:t xml:space="preserve">the choice is not only personal; management and the team are essentially involved.</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Not Macro: </w:t>
      </w:r>
      <w:r>
        <w:rPr>
          <w:rFonts w:ascii="Arial" w:cs="Arial" w:eastAsia="Arial" w:hAnsi="Arial"/>
          <w:sz w:val="20"/>
          <w:szCs w:val="20"/>
        </w:rPr>
        <w:t xml:space="preserve">working-time rules are background, not the core of the dilemma.</w:t>
      </w:r>
    </w:p>
    <w:p>
      <w:pPr>
        <w:keepNext/>
        <w:pBdr>
          <w:bottom w:val="single" w:color="5B2D8E" w:sz="8" w:space="2"/>
        </w:pBdr>
        <w:spacing w:after="90" w:before="200"/>
      </w:pPr>
      <w:r>
        <w:rPr>
          <w:rFonts w:ascii="Arial" w:cs="Arial" w:eastAsia="Arial" w:hAnsi="Arial"/>
          <w:b/>
          <w:bCs/>
          <w:color w:val="5B2D8E"/>
          <w:spacing w:val="30"/>
          <w:sz w:val="20"/>
          <w:szCs w:val="20"/>
        </w:rPr>
        <w:t xml:space="preserve">PREPARATION AND PROCEDURE</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Materials: </w:t>
      </w:r>
      <w:r>
        <w:rPr>
          <w:rFonts w:ascii="Arial" w:cs="Arial" w:eastAsia="Arial" w:hAnsi="Arial"/>
          <w:sz w:val="20"/>
          <w:szCs w:val="20"/>
        </w:rPr>
        <w:t xml:space="preserve">student version, role cards (chair, team members, management), a speaking object, flip chart for management’s boundaries.</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Facilitator role: </w:t>
      </w:r>
      <w:r>
        <w:rPr>
          <w:rFonts w:ascii="Arial" w:cs="Arial" w:eastAsia="Arial" w:hAnsi="Arial"/>
          <w:sz w:val="20"/>
          <w:szCs w:val="20"/>
        </w:rPr>
        <w:t xml:space="preserve">observe the process. Note who speaks and who stays silent, and discuss it afterwards.</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Safety: </w:t>
      </w:r>
      <w:r>
        <w:rPr>
          <w:rFonts w:ascii="Arial" w:cs="Arial" w:eastAsia="Arial" w:hAnsi="Arial"/>
          <w:sz w:val="20"/>
          <w:szCs w:val="20"/>
        </w:rPr>
        <w:t xml:space="preserve">work with the fictional case; no real colleagues or managers are discussed.</w:t>
      </w:r>
    </w:p>
    <w:p>
      <w:pPr>
        <w:keepNext/>
        <w:pBdr>
          <w:bottom w:val="single" w:color="5B2D8E" w:sz="8" w:space="2"/>
        </w:pBdr>
        <w:spacing w:after="90" w:before="200"/>
      </w:pPr>
      <w:r>
        <w:rPr>
          <w:rFonts w:ascii="Arial" w:cs="Arial" w:eastAsia="Arial" w:hAnsi="Arial"/>
          <w:b/>
          <w:bCs/>
          <w:color w:val="5B2D8E"/>
          <w:spacing w:val="30"/>
          <w:sz w:val="20"/>
          <w:szCs w:val="20"/>
        </w:rPr>
        <w:t xml:space="preserve">ORIGIN AND BACKGROUND</w:t>
      </w:r>
    </w:p>
    <w:p>
      <w:pPr>
        <w:spacing w:after="60" w:before="0" w:line="264"/>
      </w:pPr>
      <w:r>
        <w:rPr>
          <w:rFonts w:ascii="Arial" w:cs="Arial" w:eastAsia="Arial" w:hAnsi="Arial"/>
          <w:sz w:val="20"/>
          <w:szCs w:val="20"/>
        </w:rPr>
        <w:t xml:space="preserve">The kgotla is a public assembly from Botswana. Moumakwa (2011) describes it as a mechanism to settle disputes and decisions together. The chair listens, summarises and speaks last.</w:t>
      </w:r>
    </w:p>
    <w:p>
      <w:pPr>
        <w:spacing w:after="60" w:before="0" w:line="264"/>
      </w:pPr>
      <w:r>
        <w:rPr>
          <w:rFonts w:ascii="Arial" w:cs="Arial" w:eastAsia="Arial" w:hAnsi="Arial"/>
          <w:sz w:val="20"/>
          <w:szCs w:val="20"/>
        </w:rPr>
        <w:t xml:space="preserve">Discuss power relations: even if the chair speaks last, the power stays with her. Listening can become sham participation if the decision is already fixed. The traditional practice excluded, among others, women and young people. Do not adopt ritual elements.</w:t>
      </w:r>
    </w:p>
    <w:p>
      <w:pPr>
        <w:keepNext/>
        <w:pBdr>
          <w:bottom w:val="single" w:color="5B2D8E" w:sz="8" w:space="2"/>
        </w:pBdr>
        <w:spacing w:after="90" w:before="200"/>
      </w:pPr>
      <w:r>
        <w:rPr>
          <w:rFonts w:ascii="Arial" w:cs="Arial" w:eastAsia="Arial" w:hAnsi="Arial"/>
          <w:b/>
          <w:bCs/>
          <w:color w:val="5B2D8E"/>
          <w:spacing w:val="30"/>
          <w:sz w:val="20"/>
          <w:szCs w:val="20"/>
        </w:rPr>
        <w:t xml:space="preserve">PITFALLS</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The decision is already fixed and the round is a sham. Ask: what is still open for discussion?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The chair speaks about the content too early. Remind them of the rule.</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Quiet voices stay quiet. Ask explicitly for contributions, without forcing.</w:t>
      </w:r>
    </w:p>
    <w:p>
      <w:pPr>
        <w:keepNext/>
        <w:pBdr>
          <w:bottom w:val="single" w:color="5B2D8E" w:sz="8" w:space="2"/>
        </w:pBdr>
        <w:spacing w:after="90" w:before="200"/>
      </w:pPr>
      <w:r>
        <w:rPr>
          <w:rFonts w:ascii="Arial" w:cs="Arial" w:eastAsia="Arial" w:hAnsi="Arial"/>
          <w:b/>
          <w:bCs/>
          <w:color w:val="5B2D8E"/>
          <w:spacing w:val="30"/>
          <w:sz w:val="20"/>
          <w:szCs w:val="20"/>
        </w:rPr>
        <w:t xml:space="preserve">QUESTIONS THE FACILITATOR CAN ASK</w:t>
      </w:r>
    </w:p>
    <w:tbl>
      <w:tblPr>
        <w:tblW w:type="dxa" w:w="9906"/>
        <w:tblLayout w:type="fixed"/>
      </w:tblPr>
      <w:tblGrid>
        <w:gridCol w:w="1700"/>
        <w:gridCol w:w="8206"/>
      </w:tblGrid>
      <w:tr>
        <w:trPr>
          <w:cantSplit/>
          <w:tblHeader/>
        </w:trPr>
        <w:tc>
          <w:tcPr>
            <w:tcW w:type="dxa" w:w="17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Phase</w:t>
            </w:r>
          </w:p>
        </w:tc>
        <w:tc>
          <w:tcPr>
            <w:tcW w:type="dxa" w:w="82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Question</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Weighing</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“Which value is behind what the team says, and which behind what management asks?”</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Weighing</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“What is possible and what is not, and why?”</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Acting</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“How do you explain what you did with the voices?”</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Acting</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“What do you do if someone says afterwards that the decision was already fixed?”</w:t>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VARIATIONS AND DIFFERENTIATION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Shorter (60 min): </w:t>
      </w:r>
      <w:r>
        <w:rPr>
          <w:rFonts w:ascii="Arial" w:cs="Arial" w:eastAsia="Arial" w:hAnsi="Arial"/>
          <w:sz w:val="20"/>
          <w:szCs w:val="20"/>
        </w:rPr>
        <w:t xml:space="preserve">limit the open round to 15 minutes.</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Online: </w:t>
      </w:r>
      <w:r>
        <w:rPr>
          <w:rFonts w:ascii="Arial" w:cs="Arial" w:eastAsia="Arial" w:hAnsi="Arial"/>
          <w:sz w:val="20"/>
          <w:szCs w:val="20"/>
        </w:rPr>
        <w:t xml:space="preserve">use the raise-hand function and a shared record.</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Large group: </w:t>
      </w:r>
      <w:r>
        <w:rPr>
          <w:rFonts w:ascii="Arial" w:cs="Arial" w:eastAsia="Arial" w:hAnsi="Arial"/>
          <w:sz w:val="20"/>
          <w:szCs w:val="20"/>
        </w:rPr>
        <w:t xml:space="preserve">use three parallel teams, each with its own chair; compare the decisions.</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Follow-up: </w:t>
      </w:r>
      <w:r>
        <w:rPr>
          <w:rFonts w:ascii="Arial" w:cs="Arial" w:eastAsia="Arial" w:hAnsi="Arial"/>
          <w:sz w:val="20"/>
          <w:szCs w:val="20"/>
        </w:rPr>
        <w:t xml:space="preserve">let students organise their own kgotla about a real decision at their internship (no names).</w:t>
      </w:r>
    </w:p>
    <w:p>
      <w:pPr>
        <w:spacing w:after="40" w:before="0"/>
      </w:pPr>
      <w:r>
        <w:rPr>
          <w:rFonts w:ascii="Arial" w:cs="Arial" w:eastAsia="Arial" w:hAnsi="Arial"/>
          <w:sz w:val="10"/>
          <w:szCs w:val="10"/>
        </w:rPr>
        <w:t xml:space="preserve"/>
      </w:r>
    </w:p>
    <w:tbl>
      <w:tblPr>
        <w:tblW w:type="dxa" w:w="9906"/>
        <w:tblLayout w:type="fixed"/>
      </w:tblPr>
      <w:tblGrid>
        <w:gridCol w:w="1500"/>
        <w:gridCol w:w="2800"/>
        <w:gridCol w:w="2900"/>
        <w:gridCol w:w="2706"/>
      </w:tblGrid>
      <w:tr>
        <w:trPr>
          <w:cantSplit/>
          <w:tblHeader/>
        </w:trPr>
        <w:tc>
          <w:tcPr>
            <w:tcW w:type="dxa" w:w="15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
            </w:r>
          </w:p>
        </w:tc>
        <w:tc>
          <w:tcPr>
            <w:tcW w:type="dxa" w:w="28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Vocational</w:t>
            </w:r>
          </w:p>
        </w:tc>
        <w:tc>
          <w:tcPr>
            <w:tcW w:type="dxa" w:w="29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Applied</w:t>
            </w:r>
          </w:p>
        </w:tc>
        <w:tc>
          <w:tcPr>
            <w:tcW w:type="dxa" w:w="27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Academic</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Language</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B1, short sentences</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B2, up to about 25 words per sentence</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B2/C1, discipline terms</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Case</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internship and workplace situations, close to home</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professional case with several stakeholders</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case with a system or policy level</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Weighing</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intuition plus one question per step</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at least two ethical perspectives</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name and critique theories explicitly</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Reflection</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what did I do, what will I do next time</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a reasoned professional choice</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justification with literature</w:t>
            </w:r>
          </w:p>
        </w:tc>
      </w:tr>
    </w:tbl>
    <w:p>
      <w:pPr>
        <w:spacing w:after="40" w:before="0"/>
      </w:pPr>
      <w:r>
        <w:rPr>
          <w:rFonts w:ascii="Arial" w:cs="Arial" w:eastAsia="Arial" w:hAnsi="Arial"/>
          <w:sz w:val="10"/>
          <w:szCs w:val="10"/>
        </w:rPr>
        <w:t xml:space="preserve"/>
      </w:r>
    </w:p>
    <w:p>
      <w:pPr>
        <w:spacing w:after="80" w:before="0" w:line="264"/>
      </w:pPr>
      <w:r>
        <w:rPr>
          <w:rFonts w:ascii="Arial" w:cs="Arial" w:eastAsia="Arial" w:hAnsi="Arial"/>
          <w:sz w:val="19"/>
          <w:szCs w:val="19"/>
        </w:rPr>
        <w:t xml:space="preserve">For this method: with vocational students practise with one role card and short sentences; with academic students link the decision to literature on participative leadership and power.</w:t>
      </w:r>
    </w:p>
    <w:p>
      <w:pPr>
        <w:keepNext/>
        <w:pBdr>
          <w:bottom w:val="single" w:color="5B2D8E" w:sz="8" w:space="2"/>
        </w:pBdr>
        <w:spacing w:after="90" w:before="200"/>
      </w:pPr>
      <w:r>
        <w:rPr>
          <w:rFonts w:ascii="Arial" w:cs="Arial" w:eastAsia="Arial" w:hAnsi="Arial"/>
          <w:b/>
          <w:bCs/>
          <w:color w:val="5B2D8E"/>
          <w:spacing w:val="30"/>
          <w:sz w:val="20"/>
          <w:szCs w:val="20"/>
        </w:rPr>
        <w:t xml:space="preserve">SOURCES (APA 7)</w:t>
      </w:r>
    </w:p>
    <w:p>
      <w:pPr>
        <w:spacing w:after="50" w:before="0" w:line="252"/>
        <w:ind w:left="360" w:hanging="360"/>
      </w:pPr>
      <w:r>
        <w:rPr>
          <w:rFonts w:ascii="Arial" w:cs="Arial" w:eastAsia="Arial" w:hAnsi="Arial"/>
          <w:color w:val="5F5E5A"/>
          <w:sz w:val="18"/>
          <w:szCs w:val="18"/>
        </w:rPr>
        <w:t xml:space="preserve">Creative Commons. (n.d.). </w:t>
      </w:r>
      <w:r>
        <w:rPr>
          <w:rFonts w:ascii="Arial" w:cs="Arial" w:eastAsia="Arial" w:hAnsi="Arial"/>
          <w:i/>
          <w:iCs/>
          <w:color w:val="5F5E5A"/>
          <w:sz w:val="18"/>
          <w:szCs w:val="18"/>
        </w:rPr>
        <w:t xml:space="preserve">About CC licenses</w:t>
      </w:r>
      <w:r>
        <w:rPr>
          <w:rFonts w:ascii="Arial" w:cs="Arial" w:eastAsia="Arial" w:hAnsi="Arial"/>
          <w:color w:val="5F5E5A"/>
          <w:sz w:val="18"/>
          <w:szCs w:val="18"/>
        </w:rPr>
        <w:t xml:space="preserve">. https://creativecommons.org/share-your-work/cclicenses/</w:t>
      </w:r>
    </w:p>
    <w:p>
      <w:pPr>
        <w:spacing w:after="50" w:before="0" w:line="252"/>
        <w:ind w:left="360" w:hanging="360"/>
      </w:pPr>
      <w:r>
        <w:rPr>
          <w:rFonts w:ascii="Arial" w:cs="Arial" w:eastAsia="Arial" w:hAnsi="Arial"/>
          <w:color w:val="5F5E5A"/>
          <w:sz w:val="18"/>
          <w:szCs w:val="18"/>
        </w:rPr>
        <w:t xml:space="preserve">Meijer, K. M. T. (2023). </w:t>
      </w:r>
      <w:r>
        <w:rPr>
          <w:rFonts w:ascii="Arial" w:cs="Arial" w:eastAsia="Arial" w:hAnsi="Arial"/>
          <w:i/>
          <w:iCs/>
          <w:color w:val="5F5E5A"/>
          <w:sz w:val="18"/>
          <w:szCs w:val="18"/>
        </w:rPr>
        <w:t xml:space="preserve">Impossible and inevitable: Reconstructing the critique of business ethics</w:t>
      </w:r>
      <w:r>
        <w:rPr>
          <w:rFonts w:ascii="Arial" w:cs="Arial" w:eastAsia="Arial" w:hAnsi="Arial"/>
          <w:color w:val="5F5E5A"/>
          <w:sz w:val="18"/>
          <w:szCs w:val="18"/>
        </w:rPr>
        <w:t xml:space="preserve"> [Doctoral dissertation, Tilburg University]. Ridderprint. https://research.tilburguniversity.edu/en/publications/impossible-and-inevitable-reconstructing-the-critique-of-business/</w:t>
      </w:r>
    </w:p>
    <w:p>
      <w:pPr>
        <w:spacing w:after="50" w:before="0" w:line="252"/>
        <w:ind w:left="360" w:hanging="360"/>
      </w:pPr>
      <w:r>
        <w:rPr>
          <w:rFonts w:ascii="Arial" w:cs="Arial" w:eastAsia="Arial" w:hAnsi="Arial"/>
          <w:color w:val="5F5E5A"/>
          <w:sz w:val="18"/>
          <w:szCs w:val="18"/>
        </w:rPr>
        <w:t xml:space="preserve">Moumakwa, P. C. (2011). </w:t>
      </w:r>
      <w:r>
        <w:rPr>
          <w:rFonts w:ascii="Arial" w:cs="Arial" w:eastAsia="Arial" w:hAnsi="Arial"/>
          <w:i/>
          <w:iCs/>
          <w:color w:val="5F5E5A"/>
          <w:sz w:val="18"/>
          <w:szCs w:val="18"/>
        </w:rPr>
        <w:t xml:space="preserve">The Botswana kgotla system: A mechanism for traditional conflict resolution in modern Botswana</w:t>
      </w:r>
      <w:r>
        <w:rPr>
          <w:rFonts w:ascii="Arial" w:cs="Arial" w:eastAsia="Arial" w:hAnsi="Arial"/>
          <w:color w:val="5F5E5A"/>
          <w:sz w:val="18"/>
          <w:szCs w:val="18"/>
        </w:rPr>
        <w:t xml:space="preserve"> [Master’s thesis, University of Tromsø]. https://munin.uit.no/handle/10037/3211</w:t>
      </w:r>
    </w:p>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Method inspired by: kgotla deliberation (Botswana and southern Africa); see Moumakwa (2011). Adaptation and case: Moreel Vakmanschap, moreelvakmanschap.nl. Licence: CC BY-SA 4.0 – https://creativecommons.org/licenses/by-sa/4.0/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MOREEL VAKMANSCHAP · PROFESSORSHIP ETHICAL WORK · WORKSHEET</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MW47 The chair speaks last (HRM, EN)</dc:title>
  <dc:creator>Moreel Vakmanschap</dc:creator>
  <cp:lastModifiedBy>Moreel Vakmanschap</cp:lastModifiedBy>
  <cp:revision>1</cp:revision>
  <dcterms:created xsi:type="dcterms:W3CDTF">2026-10-05T12:00:00Z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