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Layout w:type="fixed"/>
      </w:tblPr>
      <w:tblGrid>
        <w:gridCol w:w="7300"/>
        <w:gridCol w:w="2606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3F5E5A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MW48</w:t>
            </w:r>
          </w:p>
          <w:p>
            <w:pPr>
              <w:spacing w:after="40" w:before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A decision everyone can live with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Suitable for: Applied · Academic · Public administration · English · to accompany the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MACRO ★★★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student can explain the difference between consensus on opinions and consensus on action. (Weighing)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student can draft an action proposal that all those involved can live with. (Acting)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student can name which tensions lie at the level of law and policy and cannot be solved within their own role.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MACRO?</w:t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Macro: the core lies with a national regulation and access to a provision (equal treatment), beyond the reach of this working group or the municipality.</w:t>
      </w:r>
    </w:p>
    <w:p>
      <w:pPr>
        <w:spacing w:after="70" w:before="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Classified according to the micro – meso – macro distinction (working definition, Lectoraat Ethisch Werken / Professorship Ethical Work, Fontys; inspired by the work of Meijer, 2023).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Test: </w:t>
      </w:r>
      <w:r>
        <w:rPr>
          <w:rFonts w:ascii="Arial" w:cs="Arial" w:eastAsia="Arial" w:hAnsi="Arial"/>
          <w:sz w:val="20"/>
          <w:szCs w:val="20"/>
        </w:rPr>
        <w:t xml:space="preserve">“Who or what would have to change for this dilemma to disappear?” Answer: the regulation itself, so law and policy. That is Macro.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Not Meso: </w:t>
      </w:r>
      <w:r>
        <w:rPr>
          <w:rFonts w:ascii="Arial" w:cs="Arial" w:eastAsia="Arial" w:hAnsi="Arial"/>
          <w:sz w:val="20"/>
          <w:szCs w:val="20"/>
        </w:rPr>
        <w:t xml:space="preserve">the municipality can soften the problem but not solve it; organisational culture is not the cause.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sz w:val="20"/>
          <w:szCs w:val="20"/>
        </w:rPr>
        <w:t xml:space="preserve">the regulation in this case is fictional. The method also works for Meso cases; the complexity belongs to the case.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Materials: </w:t>
      </w:r>
      <w:r>
        <w:rPr>
          <w:rFonts w:ascii="Arial" w:cs="Arial" w:eastAsia="Arial" w:hAnsi="Arial"/>
          <w:sz w:val="20"/>
          <w:szCs w:val="20"/>
        </w:rPr>
        <w:t xml:space="preserve">student version, role cards, flip chart for the action proposal and the minority positions.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Facilitator role: </w:t>
      </w:r>
      <w:r>
        <w:rPr>
          <w:rFonts w:ascii="Arial" w:cs="Arial" w:eastAsia="Arial" w:hAnsi="Arial"/>
          <w:sz w:val="20"/>
          <w:szCs w:val="20"/>
        </w:rPr>
        <w:t xml:space="preserve">guard the distinction between an opinion and an action. Do not let the group vote, and do not leave a round before the chair has heard everyone.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Safety: </w:t>
      </w:r>
      <w:r>
        <w:rPr>
          <w:rFonts w:ascii="Arial" w:cs="Arial" w:eastAsia="Arial" w:hAnsi="Arial"/>
          <w:sz w:val="20"/>
          <w:szCs w:val="20"/>
        </w:rPr>
        <w:t xml:space="preserve">the case is fictional; no real law or municipality is identified. Let participants play roles, not defend their own position.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ORIGIN AND BACKGROUND</w:t>
      </w:r>
    </w:p>
    <w:p>
      <w:pPr>
        <w:spacing w:after="60" w:before="0" w:line="264"/>
      </w:pPr>
      <w:r>
        <w:rPr>
          <w:rFonts w:ascii="Arial" w:cs="Arial" w:eastAsia="Arial" w:hAnsi="Arial"/>
          <w:sz w:val="20"/>
          <w:szCs w:val="20"/>
        </w:rPr>
        <w:t xml:space="preserve">Wiredu (1996) describes consensus as a form of decision-making in which participants look for an outcome everyone can live with. It is about agreement on the action, not necessarily on every opinion.</w:t>
      </w:r>
    </w:p>
    <w:p>
      <w:pPr>
        <w:spacing w:after="60" w:before="0" w:line="264"/>
      </w:pPr>
      <w:r>
        <w:rPr>
          <w:rFonts w:ascii="Arial" w:cs="Arial" w:eastAsia="Arial" w:hAnsi="Arial"/>
          <w:sz w:val="20"/>
          <w:szCs w:val="20"/>
        </w:rPr>
        <w:t xml:space="preserve">Note that consensus can also create pressure to go along. Discuss whether a minority is really free to keep deviating, and what the role of power is. This worksheet is our own elaboration; it is not a representation of a traditional practice.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Sham consensus: the group agrees to get out of the conversation. Ask further of those who stay silent.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group confuses agreeing with the opinion and agreeing with the action. Explain the difference again.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One member blocks everything. Ask: what could you accept?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group looks for a solution inside the organisation and ignores the national framework. Name the level of the tension.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QUESTIONS THE FACILITATOR CAN ASK</w:t>
      </w:r>
    </w:p>
    <w:tbl>
      <w:tblPr>
        <w:tblW w:type="dxa" w:w="9906"/>
        <w:tblLayout w:type="fixed"/>
      </w:tblPr>
      <w:tblGrid>
        <w:gridCol w:w="1700"/>
        <w:gridCol w:w="8206"/>
      </w:tblGrid>
      <w:tr>
        <w:trPr>
          <w:cantSplit/>
          <w:tblHeader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“Where do you disagree, and where can you still live with it?”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“Which value stands against which legal duty?”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“Can everyone act on this proposal, even if they disagree?”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“What has to change outside this group to really solve the problem?”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Shorter (60 min): </w:t>
      </w:r>
      <w:r>
        <w:rPr>
          <w:rFonts w:ascii="Arial" w:cs="Arial" w:eastAsia="Arial" w:hAnsi="Arial"/>
          <w:sz w:val="20"/>
          <w:szCs w:val="20"/>
        </w:rPr>
        <w:t xml:space="preserve">skip round 2 and go straight to the proposal.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Online: </w:t>
      </w:r>
      <w:r>
        <w:rPr>
          <w:rFonts w:ascii="Arial" w:cs="Arial" w:eastAsia="Arial" w:hAnsi="Arial"/>
          <w:sz w:val="20"/>
          <w:szCs w:val="20"/>
        </w:rPr>
        <w:t xml:space="preserve">use a shared document with a column per role.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Larger group (15): </w:t>
      </w:r>
      <w:r>
        <w:rPr>
          <w:rFonts w:ascii="Arial" w:cs="Arial" w:eastAsia="Arial" w:hAnsi="Arial"/>
          <w:sz w:val="20"/>
          <w:szCs w:val="20"/>
        </w:rPr>
        <w:t xml:space="preserve">work in two parallel groups and compare the proposals.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Follow-up: </w:t>
      </w:r>
      <w:r>
        <w:rPr>
          <w:rFonts w:ascii="Arial" w:cs="Arial" w:eastAsia="Arial" w:hAnsi="Arial"/>
          <w:sz w:val="20"/>
          <w:szCs w:val="20"/>
        </w:rPr>
        <w:t xml:space="preserve">let students work out their own public administration case with a regulation of their own choice.</w:t>
      </w:r>
    </w:p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906"/>
        <w:tblLayout w:type="fixed"/>
      </w:tblPr>
      <w:tblGrid>
        <w:gridCol w:w="1500"/>
        <w:gridCol w:w="2800"/>
        <w:gridCol w:w="2900"/>
        <w:gridCol w:w="2706"/>
      </w:tblGrid>
      <w:tr>
        <w:trPr>
          <w:cantSplit/>
          <w:tblHeader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Vocational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Applied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Academic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B1, short sentences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B2, up to about 25 words per sentence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B2/C1, discipline terms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Case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internship and workplace situations, close to home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professional case with several stakeholders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case with a system or policy level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Weighing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intuition plus one question per step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 least two ethical perspectives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 and critique theories explicitly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Reflection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did I do, what will I do next time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reasoned professional choice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justification with literature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For this method: this method targets applied and academic levels. With applied students work with the role cards and one trade-off; with academic students let the group link the distinction between consensus and majority decision to literature on deliberative democracy.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SOURCES (APA 7)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Creative Commons. (n.d.).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About CC licenses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. https://creativecommons.org/share-your-work/cclicenses/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Meijer, K. M. T. (2023).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Impossible and inevitable: Reconstructing the critique of business ethics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 [Doctoral dissertation, Tilburg University]. Ridderprint. https://research.tilburguniversity.edu/en/publications/impossible-and-inevitable-reconstructing-the-critique-of-business/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Wiredu, K. (1996).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Cultural universals and particulars: An African perspective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. Indiana University Press.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>Method based on: consensus deliberation (Wiredu, 1996; elaborated in our own words). Adaptation and case: Moreel Vakmanschap, moreelvakmanschap.nl. Licence: CC BY-SA 4.0 – https://creativecommons.org/licenses/by-sa/4.0/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>MOREEL VAKMANSCHAP · PROFESSORSHIP ETHICAL WORK · WORKSHEET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MW48 A decision everyone can live with (Public administration, EN)</dc:title>
  <dc:creator>Moreel Vakmanschap</dc:creator>
  <cp:lastModifiedBy>Moreel Vakmanschap</cp:lastModifiedBy>
  <cp:revision>1</cp:revision>
  <dcterms:created xsi:type="dcterms:W3CDTF">2026-10-05T12:00:00Z</dcterms:created>
  <dcterms:modified xsi:type="dcterms:W3CDTF">2026-10-05T12:00:00Z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