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MW50</w:t>
            </w:r>
          </w:p>
          <w:p>
            <w:pPr>
              <w:spacing w:after="40" w:before="0" w:line="250"/>
            </w:pPr>
            <w:r>
              <w:rPr>
                <w:rFonts w:ascii="Arial" w:cs="Arial" w:eastAsia="Arial" w:hAnsi="Arial"/>
                <w:b/>
                <w:bCs/>
                <w:color w:val="FFFFFF"/>
                <w:sz w:val="34"/>
                <w:szCs w:val="34"/>
              </w:rPr>
              <w:t xml:space="preserve">Eén hand kan geen bundel optillen</w:t>
            </w:r>
          </w:p>
          <w:p>
            <w:pPr>
              <w:spacing w:after="0" w:before="0"/>
            </w:pPr>
            <w:r>
              <w:rPr>
                <w:rFonts w:ascii="Arial" w:cs="Arial" w:eastAsia="Arial" w:hAnsi="Arial"/>
                <w:color w:val="DDE6F0"/>
                <w:sz w:val="19"/>
                <w:szCs w:val="19"/>
              </w:rPr>
              <w:t xml:space="preserve">Geschikt voor: MBO · HBO · WO · Facilitair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waarde herkennen in een spreekwoord en die koppelen aan een casus. (Zien)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tegenvoorbeeld vinden waarin het spreekwoord niet klopt. (Wegen)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twee tegengestelde waarden afwegen en een keuze verantwoorden. (Wegen)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MESO?</w:t>
      </w:r>
    </w:p>
    <w:p>
      <w:pPr>
        <w:spacing w:after="60" w:before="0" w:line="264"/>
      </w:pPr>
      <w:r>
        <w:rPr>
          <w:rFonts w:ascii="Arial" w:cs="Arial" w:eastAsia="Arial" w:hAnsi="Arial"/>
          <w:b/>
          <w:bCs/>
          <w:sz w:val="20"/>
          <w:szCs w:val="20"/>
        </w:rPr>
        <w:t xml:space="preserve">Meso: Dilara’s waarden (zorg voor het team, kwaliteit van het werk) botsen met de regels van het contract en de verwachting van de opdrachtgever, en meerdere stakeholders spelen mee.</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de contractafspraken en de verwachtingen in de organisatie. Dat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Micro: </w:t>
      </w:r>
      <w:r>
        <w:rPr>
          <w:rFonts w:ascii="Arial" w:cs="Arial" w:eastAsia="Arial" w:hAnsi="Arial"/>
          <w:sz w:val="20"/>
          <w:szCs w:val="20"/>
        </w:rPr>
        <w:t xml:space="preserve">Dilara beslist niet alleen; het contract en de opdrachtgever bepalen mee wat kan.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Macro: </w:t>
      </w:r>
      <w:r>
        <w:rPr>
          <w:rFonts w:ascii="Arial" w:cs="Arial" w:eastAsia="Arial" w:hAnsi="Arial"/>
          <w:sz w:val="20"/>
          <w:szCs w:val="20"/>
        </w:rPr>
        <w:t xml:space="preserve">er is geen wet of beleid dat de kern vormt; het gaat om een contractregel.</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spreekwoordenkaartjes (zie hieronder), pennen, flip-over.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laat de groepjes zelf een spreekwoord kiezen en laat de herkomst benoemen. Controleer de vertalingen vooraf met een moedertaalspreker.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werk met de fictieve casus; geen echte leveranciers of collega’s noemen.</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Voorbeelden van spreekwoorden die je kunt gebruiken: “Eén hand kan geen bundel optillen” (Akan, Ghana; Gyekye, 1995); “Haba na haba hujaza kibaba” (Swahili: beetje bij beetje vult de maat); “Mgeni siku mbili; siku ya tatu mpe jembe” (Swahili: een gast twee dagen; op de derde dag geef je hem een schoffel). Controleer de vertaling.</w:t>
      </w:r>
    </w:p>
    <w:p>
      <w:pPr>
        <w:spacing w:after="60" w:before="0" w:line="264"/>
      </w:pPr>
      <w:r>
        <w:rPr>
          <w:rFonts w:ascii="Arial" w:cs="Arial" w:eastAsia="Arial" w:hAnsi="Arial"/>
          <w:sz w:val="20"/>
          <w:szCs w:val="20"/>
        </w:rPr>
        <w:t xml:space="preserve">Presenteer spreekwoorden niet als “de” mening van een heel volk. Het zijn gedeelde zegswijzen, geen regels. Noem per spreekwoord de taal en herkomst. Benoem zelf dat jij geen volledige kennis hebt van alle varianten.</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Studenten nemen een spreekwoord letterlijk als regel. Vraag: wanneer klopt het niet?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Een spreekwoord wordt als exotisch gepresenteerd. Koppel het aan de eigen werkpraktijk.</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vertaling is onzeker. Laat de studenten de vertaling nooit als feit presenteren zonder controle.</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waarde zit in dit spreekwoord?”</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“Waar in de casus zie je dit gebeuren?”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“Wanneer klopt dit spreekwoord niet?”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 ander spreekwoord spreekt dit tegen, en wie heeft gelijk?”</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(20 min): </w:t>
      </w:r>
      <w:r>
        <w:rPr>
          <w:rFonts w:ascii="Arial" w:cs="Arial" w:eastAsia="Arial" w:hAnsi="Arial"/>
          <w:sz w:val="20"/>
          <w:szCs w:val="20"/>
        </w:rPr>
        <w:t xml:space="preserve">laat elk groepje één spreekwoord uitwerken.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werk met kaartjes op een gedeeld bord.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werk met tafels van vier en laat per tafel één waarde terugkoppelen.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studenten een spreekwoord uit hun eigen taal inbrengen en dezelfde analyse doen.</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werk je met één spreekwoord per groepje en bij WO laat je de groep het spreekwoord vergelijken met een westerse deugd of een theorie.</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Gyekye, K. (1995). </w:t>
      </w:r>
      <w:r>
        <w:rPr>
          <w:rFonts w:ascii="Arial" w:cs="Arial" w:eastAsia="Arial" w:hAnsi="Arial"/>
          <w:i/>
          <w:iCs/>
          <w:color w:val="5F5E5A"/>
          <w:sz w:val="18"/>
          <w:szCs w:val="18"/>
        </w:rPr>
        <w:t xml:space="preserve">An essay on African philosophical thought: The Akan conceptual scheme</w:t>
      </w:r>
      <w:r>
        <w:rPr>
          <w:rFonts w:ascii="Arial" w:cs="Arial" w:eastAsia="Arial" w:hAnsi="Arial"/>
          <w:color w:val="5F5E5A"/>
          <w:sz w:val="18"/>
          <w:szCs w:val="18"/>
        </w:rPr>
        <w:t xml:space="preserve"> (Rev. ed.). Temple University Press.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spreekwoordengesprek (Akan, Swahili, Yoruba); zie Gyekye (1995).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MW50 Eén hand kan geen bundel optillen (Facilitair,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