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MW56 — KARAKTERKAART VAN DE OMOLUABI · POLITIE</w:t>
            </w:r>
          </w:p>
          <w:p>
            <w:pPr>
              <w:spacing w:after="40" w:before="0" w:line="250"/>
            </w:pPr>
            <w:r>
              <w:rPr>
                <w:rFonts w:ascii="Arial" w:cs="Arial" w:eastAsia="Arial" w:hAnsi="Arial"/>
                <w:b/>
                <w:bCs/>
                <w:color w:val="FFFFFF"/>
                <w:sz w:val="34"/>
                <w:szCs w:val="34"/>
              </w:rPr>
              <w:t xml:space="preserve">Een kleine fout in het proces-verbaal</w:t>
            </w:r>
          </w:p>
          <w:p>
            <w:pPr>
              <w:spacing w:after="0" w:before="0"/>
            </w:pPr>
            <w:r>
              <w:rPr>
                <w:rFonts w:ascii="Arial" w:cs="Arial" w:eastAsia="Arial" w:hAnsi="Arial"/>
                <w:color w:val="DDE6F0"/>
                <w:sz w:val="19"/>
                <w:szCs w:val="19"/>
              </w:rPr>
              <w:t xml:space="preserve">Casus: een wijkagent en een alledaags moment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8A1B"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Individueel + groep</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6-POLITIE-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Dana is wijkagent in een woonwijk. Zij kent de straten en veel bewoners bij naam. Gisteravond, na een lange dienst, schreef zij een proces-verbaal over een burenruzie over geluidsoverlast. Zij typte in het verslag dat zij om 21.40 uur ter plaatse was.</w:t>
            </w:r>
          </w:p>
          <w:p>
            <w:pPr>
              <w:spacing w:after="100" w:before="0" w:line="288"/>
            </w:pPr>
            <w:r>
              <w:rPr>
                <w:rFonts w:ascii="Arial" w:cs="Arial" w:eastAsia="Arial" w:hAnsi="Arial"/>
                <w:sz w:val="21"/>
                <w:szCs w:val="21"/>
              </w:rPr>
              <w:t xml:space="preserve">Vanochtend ziet zij in haar eigen aantekeningen dat het 22.10 uur was. Zij was eerst nog bij een andere melding, een fietsendiefstal drie straten verder. Het tijdsverschil verandert niets aan wat er gebeurde, en niemand zal het merken. Haar collega Ruud, die het verslag leest, zegt: “Laat maar, het scheelt een half uur. Wie gaat dat nou nagaan?”</w:t>
            </w:r>
          </w:p>
          <w:p>
            <w:pPr>
              <w:spacing w:after="100" w:before="0" w:line="288"/>
            </w:pPr>
            <w:r>
              <w:rPr>
                <w:rFonts w:ascii="Arial" w:cs="Arial" w:eastAsia="Arial" w:hAnsi="Arial"/>
                <w:sz w:val="21"/>
                <w:szCs w:val="21"/>
              </w:rPr>
              <w:t xml:space="preserve">Dana weet dat zij het verslag kan corrigeren voordat het verder gaat. Het kost haar een korte uitleg en misschien een ongemakkelijk moment. Zij denkt aan de bewoner die gisteravond tegen haar zei: “Jullie zijn tenminste eerlijk.” Zij weet ook dat zij eerder kleine dingen heeft laten liggen en dat zij zich daar niet prettig bij voelde. Niemand heeft haar hier iets over gevraagd.</w:t>
            </w:r>
          </w:p>
          <w:p>
            <w:pPr>
              <w:spacing w:after="40" w:before="0" w:line="288"/>
            </w:pPr>
            <w:r>
              <w:rPr>
                <w:rFonts w:ascii="Arial" w:cs="Arial" w:eastAsia="Arial" w:hAnsi="Arial"/>
                <w:b/>
                <w:bCs/>
                <w:sz w:val="21"/>
                <w:szCs w:val="21"/>
              </w:rPr>
              <w:t xml:space="preserve">Wat doet Dana met de fout in het proces-verbaal, en welk soort agent wil zij zijn?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Welke eigenschap zie je bij Dana op het spel staan? Schrijf het op.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Maak je karakterkaart van de professionele omoluabi: kies deugden die bij een goede professional in jouw beroep horen en omschrijf ze in je eigen woorden.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Geef jezelf bij elke deugd een score van 1 tot 5 en schrijf één voorbeeld op waaruit blijkt waarom.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Vergelijk in een groepje van 3–4 de kaarten. Deel alleen wat je wilt delen. Waar verschillen jullie deugden?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Kies één deugd die je deze maand oefent en schrijf op hoe.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DEUGDENKAART — DE PROFESSIONELE OMOLUABI</w:t>
      </w:r>
    </w:p>
    <w:tbl>
      <w:tblPr>
        <w:tblW w:type="dxa" w:w="9906"/>
        <w:tblLayout w:type="fixed"/>
      </w:tblPr>
      <w:tblGrid>
        <w:gridCol w:w="2600"/>
        <w:gridCol w:w="5306"/>
        <w:gridCol w:w="2000"/>
      </w:tblGrid>
      <w:tr>
        <w:trPr>
          <w:cantSplit/>
          <w:tblHeader/>
        </w:trPr>
        <w:tc>
          <w:tcPr>
            <w:tcW w:type="dxa" w:w="2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Deugd</w:t>
            </w:r>
          </w:p>
        </w:tc>
        <w:tc>
          <w:tcPr>
            <w:tcW w:type="dxa" w:w="5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In mijn eigen woorden</w:t>
            </w:r>
          </w:p>
        </w:tc>
        <w:tc>
          <w:tcPr>
            <w:tcW w:type="dxa" w:w="2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Zelfscore (1–5)</w:t>
            </w:r>
          </w:p>
        </w:tc>
      </w:tr>
      <w:tr>
        <w:trPr>
          <w:cantSplit/>
          <w:trHeight w:val="620" w:hRule="atLeast"/>
        </w:trPr>
        <w:tc>
          <w:tcPr>
            <w:tcW w:type="dxa" w:w="2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Integriteit</w:t>
            </w:r>
          </w:p>
        </w:tc>
        <w:tc>
          <w:tcPr>
            <w:tcW w:type="dxa" w:w="5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Respect</w:t>
            </w:r>
          </w:p>
        </w:tc>
        <w:tc>
          <w:tcPr>
            <w:tcW w:type="dxa" w:w="5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Eerlijkheid</w:t>
            </w:r>
          </w:p>
        </w:tc>
        <w:tc>
          <w:tcPr>
            <w:tcW w:type="dxa" w:w="5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Werklust</w:t>
            </w:r>
          </w:p>
        </w:tc>
        <w:tc>
          <w:tcPr>
            <w:tcW w:type="dxa" w:w="5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2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Mijn eigen deugd:</w:t>
            </w:r>
          </w:p>
        </w:tc>
        <w:tc>
          <w:tcPr>
            <w:tcW w:type="dxa" w:w="5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ÉÉN DEUGD DIE IK DEZE MAAND OEFEN</w:t>
      </w:r>
    </w:p>
    <w:tbl>
      <w:tblPr>
        <w:tblW w:type="dxa" w:w="9906"/>
        <w:tblLayout w:type="fixed"/>
      </w:tblPr>
      <w:tblGrid>
        <w:gridCol w:w="2600"/>
        <w:gridCol w:w="4000"/>
        <w:gridCol w:w="3306"/>
      </w:tblGrid>
      <w:tr>
        <w:trPr>
          <w:cantSplit/>
          <w:tblHeader/>
        </w:trPr>
        <w:tc>
          <w:tcPr>
            <w:tcW w:type="dxa" w:w="2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Mijn deugd</w:t>
            </w:r>
          </w:p>
        </w:tc>
        <w:tc>
          <w:tcPr>
            <w:tcW w:type="dxa" w:w="4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ik concreet doe</w:t>
            </w:r>
          </w:p>
        </w:tc>
        <w:tc>
          <w:tcPr>
            <w:tcW w:type="dxa" w:w="3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Hoe ik merk dat het lukt</w:t>
            </w:r>
          </w:p>
        </w:tc>
      </w:tr>
      <w:tr>
        <w:trPr>
          <w:cantSplit/>
          <w:trHeight w:val="1300" w:hRule="atLeast"/>
        </w:trPr>
        <w:tc>
          <w:tcPr>
            <w:tcW w:type="dxa" w:w="26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8A1B" w:color="auto" w:val="clear"/>
        </w:rPr>
        <w:t xml:space="preserve"> VOELEN </w:t>
      </w:r>
      <w:r>
        <w:rPr>
          <w:rFonts w:ascii="Arial" w:cs="Arial" w:eastAsia="Arial" w:hAnsi="Arial"/>
          <w:sz w:val="20"/>
          <w:szCs w:val="20"/>
        </w:rPr>
        <w:t xml:space="preserve">  Welk gevoel zei je dat Dana iets moest doen, en wat deed jij met zo’n gevoel in een eigen situatie?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je om een deugd ook vol te houden als niemand het merkt?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In de Yoruba-ethiek, uit het zuidwesten van Nigeria, staat goed karakter (ìwà) centraal. De omoluabi is iemand met integriteit, respect, eerlijkheid en werklust. Gbadegesin (1991) beschrijft dit als onderdeel van de traditionele Yoruba-filosofie. Wij gebruiken het begrip als reflectiekader; het is geen ritueel en geen volledige weergave van de Yoruba-ethiek.</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omoluabi en ìwà (Yoruba, Nigeria); zie Gbadegesin (1991).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MW56 Een kleine fout in het proces-verbaal (Politie,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