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TEACHER VERSION · MW60</w:t>
            </w:r>
          </w:p>
          <w:p>
            <w:pPr>
              <w:spacing w:after="40" w:before="0" w:line="250"/>
            </w:pPr>
            <w:r>
              <w:rPr>
                <w:rFonts w:ascii="Arial" w:cs="Arial" w:eastAsia="Arial" w:hAnsi="Arial"/>
                <w:b/>
                <w:bCs/>
                <w:color w:val="FFFFFF"/>
                <w:sz w:val="34"/>
                <w:szCs w:val="34"/>
              </w:rPr>
              <w:t xml:space="preserve">Listen first, then play</w:t>
            </w:r>
          </w:p>
          <w:p>
            <w:pPr>
              <w:spacing w:after="0" w:before="0"/>
            </w:pPr>
            <w:r>
              <w:rPr>
                <w:rFonts w:ascii="Arial" w:cs="Arial" w:eastAsia="Arial" w:hAnsi="Arial"/>
                <w:color w:val="DDE6F0"/>
                <w:sz w:val="19"/>
                <w:szCs w:val="19"/>
              </w:rPr>
              <w:t xml:space="preserve">Suitable for: Vocational · Applied · Academic · Sustainability · English · to accompany the student version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investigate a problem in their own environment by listening to several people involved. (Seeing)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translate the findings into a short scene that makes different interests visible. (Seeing)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determine a concrete follow-up action together with those involved. (Acting)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60" w:before="0" w:line="264"/>
      </w:pPr>
      <w:r>
        <w:rPr>
          <w:rFonts w:ascii="Arial" w:cs="Arial" w:eastAsia="Arial" w:hAnsi="Arial"/>
          <w:b/>
          <w:bCs/>
          <w:sz w:val="20"/>
          <w:szCs w:val="20"/>
        </w:rPr>
        <w:t xml:space="preserve">Meso: the dilemma lies in the municipality’s decision-making process, with several stakeholders, and not in one personal choice of Fenna.</w:t>
      </w:r>
    </w:p>
    <w:p>
      <w:pPr>
        <w:spacing w:after="70" w:before="0"/>
      </w:pPr>
      <w:r>
        <w:rPr>
          <w:rFonts w:ascii="Arial" w:cs="Arial" w:eastAsia="Arial" w:hAnsi="Arial"/>
          <w:i/>
          <w:iCs/>
          <w:color w:val="5F5E5A"/>
          <w:sz w:val="15"/>
          <w:szCs w:val="15"/>
        </w:rPr>
        <w:t xml:space="preserve">Classified according to the micro – meso – macro distinction (working definition, Lectoraat Ethisch Werken / Professorship Ethical Work, Fontys; inspired by the work of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Test: </w:t>
      </w:r>
      <w:r>
        <w:rPr>
          <w:rFonts w:ascii="Arial" w:cs="Arial" w:eastAsia="Arial" w:hAnsi="Arial"/>
          <w:sz w:val="20"/>
          <w:szCs w:val="20"/>
        </w:rPr>
        <w:t xml:space="preserve">“Who or what would have to change for this dilemma to disappear?” Answer: the way the municipality involves residents, the schedule and the agreements with the subsidy provider. That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Micro: </w:t>
      </w:r>
      <w:r>
        <w:rPr>
          <w:rFonts w:ascii="Arial" w:cs="Arial" w:eastAsia="Arial" w:hAnsi="Arial"/>
          <w:sz w:val="20"/>
          <w:szCs w:val="20"/>
        </w:rPr>
        <w:t xml:space="preserve">Fenna can start research, but the schedule and the deadline are not hers to set.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Macro: </w:t>
      </w:r>
      <w:r>
        <w:rPr>
          <w:rFonts w:ascii="Arial" w:cs="Arial" w:eastAsia="Arial" w:hAnsi="Arial"/>
          <w:sz w:val="20"/>
          <w:szCs w:val="20"/>
        </w:rPr>
        <w:t xml:space="preserve">the core is not a law or national policy; the municipality has room in how it carries out the plan.</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Materials: </w:t>
      </w:r>
      <w:r>
        <w:rPr>
          <w:rFonts w:ascii="Arial" w:cs="Arial" w:eastAsia="Arial" w:hAnsi="Arial"/>
          <w:sz w:val="20"/>
          <w:szCs w:val="20"/>
        </w:rPr>
        <w:t xml:space="preserve">student version, pens, flip chart, optionally simple props (chairs, a coat, a sign).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Facilitator role: </w:t>
      </w:r>
      <w:r>
        <w:rPr>
          <w:rFonts w:ascii="Arial" w:cs="Arial" w:eastAsia="Arial" w:hAnsi="Arial"/>
          <w:sz w:val="20"/>
          <w:szCs w:val="20"/>
        </w:rPr>
        <w:t xml:space="preserve">guide the research and the public conversation, but do not determine the outcome. Make sure students choose a small, non-sensitive issue.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Safety: </w:t>
      </w:r>
      <w:r>
        <w:rPr>
          <w:rFonts w:ascii="Arial" w:cs="Arial" w:eastAsia="Arial" w:hAnsi="Arial"/>
          <w:sz w:val="20"/>
          <w:szCs w:val="20"/>
        </w:rPr>
        <w:t xml:space="preserve">work with fictional names and anonymous findings. Let students ask permission when interviewing and not portray anyone recognisably. Refer to the student counsellor or confidential adviser if signs of distress appear.</w:t>
      </w:r>
    </w:p>
    <w:p>
      <w:pPr>
        <w:keepNext/>
        <w:pBdr>
          <w:bottom w:val="single" w:color="5B2D8E" w:sz="8" w:space="2"/>
        </w:pBdr>
        <w:spacing w:after="90" w:before="200"/>
      </w:pPr>
      <w:r>
        <w:rPr>
          <w:rFonts w:ascii="Arial" w:cs="Arial" w:eastAsia="Arial" w:hAnsi="Arial"/>
          <w:b/>
          <w:bCs/>
          <w:color w:val="5B2D8E"/>
          <w:spacing w:val="30"/>
          <w:sz w:val="20"/>
          <w:szCs w:val="20"/>
        </w:rPr>
        <w:t xml:space="preserve">ORIGIN AND BACKGROUND</w:t>
      </w:r>
    </w:p>
    <w:p>
      <w:pPr>
        <w:spacing w:after="60" w:before="0" w:line="264"/>
      </w:pPr>
      <w:r>
        <w:rPr>
          <w:rFonts w:ascii="Arial" w:cs="Arial" w:eastAsia="Arial" w:hAnsi="Arial"/>
          <w:sz w:val="20"/>
          <w:szCs w:val="20"/>
        </w:rPr>
        <w:t xml:space="preserve">Theatre for Development differs from forum theatre (MW17). Forum theatre emphasises rehearsing a situation with the audience. Here the emphasis is on research beforehand and action afterwards: the scene shows what those involved said and the public conversation is about solutions and joint action (Mda, 1993).</w:t>
      </w:r>
    </w:p>
    <w:p>
      <w:pPr>
        <w:spacing w:after="60" w:before="0" w:line="264"/>
      </w:pPr>
      <w:r>
        <w:rPr>
          <w:rFonts w:ascii="Arial" w:cs="Arial" w:eastAsia="Arial" w:hAnsi="Arial"/>
          <w:sz w:val="20"/>
          <w:szCs w:val="20"/>
        </w:rPr>
        <w:t xml:space="preserve">Note: those who do the research may not colour the findings as they please. Let students report back to the people they spoke to. Do not present the origin as folklore: these are methods developed in and with communities, with their own questions and goals.</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Students invent the scene without investigating. Ask: who did you speak to, and what exactly did that person say?</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scene becomes a caricature of “the municipality” or “the residents”. Ask about the interests and concerns behind each character.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public conversation ends without agreements. Close with an action plan: what, who and when.</w:t>
      </w:r>
    </w:p>
    <w:p>
      <w:pPr>
        <w:keepNext/>
        <w:pBdr>
          <w:bottom w:val="single" w:color="5B2D8E" w:sz="8" w:space="2"/>
        </w:pBdr>
        <w:spacing w:after="90" w:before="200"/>
      </w:pPr>
      <w:r>
        <w:rPr>
          <w:rFonts w:ascii="Arial" w:cs="Arial" w:eastAsia="Arial" w:hAnsi="Arial"/>
          <w:b/>
          <w:bCs/>
          <w:color w:val="5B2D8E"/>
          <w:spacing w:val="30"/>
          <w:sz w:val="20"/>
          <w:szCs w:val="20"/>
        </w:rPr>
        <w:t xml:space="preserve">QUESTIONS THE FACILITATOR CAN ASK</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Phase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Seeing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“Who did you speak to, and whom have you not yet heard?”</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Seeing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you hear that you did not expect?”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Acting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“Which solution came from the audience, and who would have to carry it out?”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Acting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can you already do tomorrow, and what needs agreements with others?”</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Shorter (90 min): </w:t>
      </w:r>
      <w:r>
        <w:rPr>
          <w:rFonts w:ascii="Arial" w:cs="Arial" w:eastAsia="Arial" w:hAnsi="Arial"/>
          <w:sz w:val="20"/>
          <w:szCs w:val="20"/>
        </w:rPr>
        <w:t xml:space="preserve">investigate Fenna’s case with a role play instead of your own interviews.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work in small groups with a shared board; perform the scene as a read-aloud dialogue.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Large group: </w:t>
      </w:r>
      <w:r>
        <w:rPr>
          <w:rFonts w:ascii="Arial" w:cs="Arial" w:eastAsia="Arial" w:hAnsi="Arial"/>
          <w:sz w:val="20"/>
          <w:szCs w:val="20"/>
        </w:rPr>
        <w:t xml:space="preserve">let each group perform one scene and hold the public conversation per two groups.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Follow-up: </w:t>
      </w:r>
      <w:r>
        <w:rPr>
          <w:rFonts w:ascii="Arial" w:cs="Arial" w:eastAsia="Arial" w:hAnsi="Arial"/>
          <w:sz w:val="20"/>
          <w:szCs w:val="20"/>
        </w:rPr>
        <w:t xml:space="preserve">let students report back after a few weeks on what happened with their action plan.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Vocational</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Applied</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Academic</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Language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short sentences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up to about 25 words per sentence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discipline terms</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internship and workplace situations, close to home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professional case with several stakeholders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case with a system or policy level</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intuition plus one question per step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at least two ethical perspectives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name and critique theories explicitly</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Reflection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I do, what will I do next time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 reasoned professional choice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justification with literature</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For this method: with vocational students work with one issue close to home and fixed interview questions; with academic students let them justify the research approach with literature on participation and analyse the public conversation for power and interests.</w:t>
      </w:r>
    </w:p>
    <w:p>
      <w:pPr>
        <w:keepNext/>
        <w:pBdr>
          <w:bottom w:val="single" w:color="5B2D8E" w:sz="8" w:space="2"/>
        </w:pBdr>
        <w:spacing w:after="90" w:before="200"/>
      </w:pPr>
      <w:r>
        <w:rPr>
          <w:rFonts w:ascii="Arial" w:cs="Arial" w:eastAsia="Arial" w:hAnsi="Arial"/>
          <w:b/>
          <w:bCs/>
          <w:color w:val="5B2D8E"/>
          <w:spacing w:val="30"/>
          <w:sz w:val="20"/>
          <w:szCs w:val="20"/>
        </w:rPr>
        <w:t xml:space="preserve">SOURCES (APA 7)</w:t>
      </w:r>
    </w:p>
    <w:p>
      <w:pPr>
        <w:spacing w:after="50" w:before="0" w:line="252"/>
        <w:ind w:left="360" w:hanging="360"/>
      </w:pPr>
      <w:r>
        <w:rPr>
          <w:rFonts w:ascii="Arial" w:cs="Arial" w:eastAsia="Arial" w:hAnsi="Arial"/>
          <w:color w:val="5F5E5A"/>
          <w:sz w:val="18"/>
          <w:szCs w:val="18"/>
        </w:rPr>
        <w:t xml:space="preserve">Creative Commons. (n.d.).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Mda, Z. (1993). </w:t>
      </w:r>
      <w:r>
        <w:rPr>
          <w:rFonts w:ascii="Arial" w:cs="Arial" w:eastAsia="Arial" w:hAnsi="Arial"/>
          <w:i/>
          <w:iCs/>
          <w:color w:val="5F5E5A"/>
          <w:sz w:val="18"/>
          <w:szCs w:val="18"/>
        </w:rPr>
        <w:t xml:space="preserve">When people play people: Development communication through theatre</w:t>
      </w:r>
      <w:r>
        <w:rPr>
          <w:rFonts w:ascii="Arial" w:cs="Arial" w:eastAsia="Arial" w:hAnsi="Arial"/>
          <w:color w:val="5F5E5A"/>
          <w:sz w:val="18"/>
          <w:szCs w:val="18"/>
        </w:rPr>
        <w:t xml:space="preserve">. Witwatersrand University Press.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[Doctoral dissertation,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Theatre for Development (among others Botswana, Kenya, South Africa); see Mda (1993).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MW60 Listen first, then play (Sustainability,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