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MW61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What does repair require?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Applied · Academic · Legal affairs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express the perspective of the person who suffered harm and of the person who is responsible. (Feeling)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formulate an acknowledgement that names the facts without ignoring the legal position. (Acting)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determine together what repair requires and turn it into a concrete agreement.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Meso: the core lies in how the organisation deals with its own mistakes, among several stakeholders (employee, board, legal department), and not in one personal choice.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the way the organisation deals with mistakes and liability. That is Meso.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Micro: </w:t>
      </w:r>
      <w:r>
        <w:rPr>
          <w:rFonts w:ascii="Arial" w:cs="Arial" w:eastAsia="Arial" w:hAnsi="Arial"/>
          <w:sz w:val="20"/>
          <w:szCs w:val="20"/>
        </w:rPr>
        <w:t xml:space="preserve">Sanne advises, but the board decides and the organisational culture determines what may be said.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Macro: </w:t>
      </w:r>
      <w:r>
        <w:rPr>
          <w:rFonts w:ascii="Arial" w:cs="Arial" w:eastAsia="Arial" w:hAnsi="Arial"/>
          <w:sz w:val="20"/>
          <w:szCs w:val="20"/>
        </w:rPr>
        <w:t xml:space="preserve">the core is not a law or human rights issue; liability law is a boundary condition here.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Materials: </w:t>
      </w:r>
      <w:r>
        <w:rPr>
          <w:rFonts w:ascii="Arial" w:cs="Arial" w:eastAsia="Arial" w:hAnsi="Arial"/>
          <w:sz w:val="20"/>
          <w:szCs w:val="20"/>
        </w:rPr>
        <w:t xml:space="preserve">student version, pens, role cards (Tariq, Sanne, mediator).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Facilitator role: </w:t>
      </w:r>
      <w:r>
        <w:rPr>
          <w:rFonts w:ascii="Arial" w:cs="Arial" w:eastAsia="Arial" w:hAnsi="Arial"/>
          <w:sz w:val="20"/>
          <w:szCs w:val="20"/>
        </w:rPr>
        <w:t xml:space="preserve">keep it businesslike and watch over the steps. Keep the case fictional and let nobody re-enact their own experience.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Safety: </w:t>
      </w:r>
      <w:r>
        <w:rPr>
          <w:rFonts w:ascii="Arial" w:cs="Arial" w:eastAsia="Arial" w:hAnsi="Arial"/>
          <w:sz w:val="20"/>
          <w:szCs w:val="20"/>
        </w:rPr>
        <w:t xml:space="preserve">never re-enact real trauma. Offer space afterwards to step out of the role. Refer to the student counsellor or confidential adviser if signs of distress appear.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The method takes the triad of testimony, acknowledgement and repair from the way the South African Truth and Reconciliation Commission has been described (Tutu, 1999; Gobodo-Madikizela, 2003). The core question is how to reach reconciliation without concealing the truth. Reconciliation is not an obligation here and forgiveness is not a condition.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Note: the commission dealt with very serious injustice. Do not equate that with a mistake in the workplace. Use it only as a frame of thought and let students name that difference themselves.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acknowledgement becomes a legal reservation. Ask: what would Tariq hear if he read this?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People reach quickly for forgiveness or a settlement. Ask: which step is still missing before that point?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Students start sharing their own experiences. Remind them of the fictional case and offer a separate conversation if needed.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does Tariq need to feel heard?”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is difficult about acknowledging a mistake on behalf of an organisation?”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“Which sentence in the acknowledgement is factually correct and also honest?”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is a repair step the organisation can really carry out?”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Shorter: </w:t>
      </w:r>
      <w:r>
        <w:rPr>
          <w:rFonts w:ascii="Arial" w:cs="Arial" w:eastAsia="Arial" w:hAnsi="Arial"/>
          <w:sz w:val="20"/>
          <w:szCs w:val="20"/>
        </w:rPr>
        <w:t xml:space="preserve">work without role play and let students write out the three steps individually.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work in small groups in a breakout room with a shared document for the step card.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group: </w:t>
      </w:r>
      <w:r>
        <w:rPr>
          <w:rFonts w:ascii="Arial" w:cs="Arial" w:eastAsia="Arial" w:hAnsi="Arial"/>
          <w:sz w:val="20"/>
          <w:szCs w:val="20"/>
        </w:rPr>
        <w:t xml:space="preserve">let groups of three work and let each group share one formulation of the acknowledgement.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let students write their own short acknowledgement text and discuss it with a lawyer or HR professional.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with applied students work on a professional acknowledgement in their own words; with academic students let them justify the choices with literature on reconciliation, liability and organisational responsibility.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Gobodo-Madikizela, P. (2003).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 human being died that night: A South African story of forgiveness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Houghton Mifflin.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Tutu, D. (1999).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No future without forgiveness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Doubleday.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inspired by: the South African Truth and Reconciliation Commission; see Tutu (1999) and Gobodo-Madikizela (2003).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MW61 What does repair require? (Legal affairs,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