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MW61 — GETUIGEN – ERKENNEN – HERSTELLEN · JURIDISCHE ZAKEN</w:t>
            </w:r>
          </w:p>
          <w:p>
            <w:pPr>
              <w:spacing w:after="40" w:before="0" w:line="250"/>
            </w:pPr>
            <w:r>
              <w:rPr>
                <w:rFonts w:ascii="Arial" w:cs="Arial" w:eastAsia="Arial" w:hAnsi="Arial"/>
                <w:b/>
                <w:bCs/>
                <w:color w:val="FFFFFF"/>
                <w:sz w:val="34"/>
                <w:szCs w:val="34"/>
              </w:rPr>
              <w:t xml:space="preserve">Wat vraagt herstel?</w:t>
            </w:r>
          </w:p>
          <w:p>
            <w:pPr>
              <w:spacing w:after="0" w:before="0"/>
            </w:pPr>
            <w:r>
              <w:rPr>
                <w:rFonts w:ascii="Arial" w:cs="Arial" w:eastAsia="Arial" w:hAnsi="Arial"/>
                <w:color w:val="DDE6F0"/>
                <w:sz w:val="19"/>
                <w:szCs w:val="19"/>
              </w:rPr>
              <w:t xml:space="preserve">Casus: een medewerker en een fout van de organisatie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8A1B"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90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6–20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1-JURIDISCHEZAK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Sanne Kuipers is hoofd van de afdeling juridische zaken van Delta Logistiek. Haar collega Tariq Bosman werd drie maanden geleden ten onrechte beschuldigd van het lekken van een conceptcontract. Tariq is al acht jaar bij het bedrijf en staat bekend als zorgvuldig. Zijn naam stond in een mail aan het management. Later bleek dat een fout in het mailsysteem de oorzaak was.</w:t>
            </w:r>
          </w:p>
          <w:p>
            <w:pPr>
              <w:spacing w:after="100" w:before="0" w:line="288"/>
            </w:pPr>
            <w:r>
              <w:rPr>
                <w:rFonts w:ascii="Arial" w:cs="Arial" w:eastAsia="Arial" w:hAnsi="Arial"/>
                <w:sz w:val="21"/>
                <w:szCs w:val="21"/>
              </w:rPr>
              <w:t xml:space="preserve">Tariq is daarna niet meer gevraagd voor een groot dossier waar hij op rekende. In het team wordt over hem gefluisterd. Hij vraagt Sanne om een erkenning: wat er is gebeurd, dat het onterecht was en wat de organisatie daaraan gaat doen.</w:t>
            </w:r>
          </w:p>
          <w:p>
            <w:pPr>
              <w:spacing w:after="100" w:before="0" w:line="288"/>
            </w:pPr>
            <w:r>
              <w:rPr>
                <w:rFonts w:ascii="Arial" w:cs="Arial" w:eastAsia="Arial" w:hAnsi="Arial"/>
                <w:sz w:val="21"/>
                <w:szCs w:val="21"/>
              </w:rPr>
              <w:t xml:space="preserve">De directie wil zich verontschuldigen, maar vreest dat een formulering als “wij hebben een fout gemaakt” later tegen de organisatie kan worden gebruikt. Sanne moet adviseren. Ze wil niets verzwijgen en ook de organisatie niet onnodig blootstellen. Een bijeenkomst met het hele team is voorgesteld, maar niemand weet wat daar gezegd moet worden.</w:t>
            </w:r>
          </w:p>
          <w:p>
            <w:pPr>
              <w:spacing w:after="40" w:before="0" w:line="288"/>
            </w:pPr>
            <w:r>
              <w:rPr>
                <w:rFonts w:ascii="Arial" w:cs="Arial" w:eastAsia="Arial" w:hAnsi="Arial"/>
                <w:b/>
                <w:bCs/>
                <w:sz w:val="21"/>
                <w:szCs w:val="21"/>
              </w:rPr>
              <w:t xml:space="preserve">Hoe kan Sanne de fout erkennen zonder de waarheid te verzwijgen, en wat zou herstel voor Tariq moeten inhouden?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Verdeel de rollen in groepjes van drie: Tariq, Sanne en een bemiddelaar die de stappen bewaakt.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Stap 1, getuigenis: Tariq vertelt feitelijk wat er is gebeurd en wat het met zijn werk deed. De anderen luisteren en onderbreken niet.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Stap 2, erkenning: Sanne formuleert wat de organisatie erkent, zonder uitvluchten en zonder juridische aansprakelijkheid te ontkennen of te erkennen waar dat nog niet vaststaat.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Stap 3, herstel: Tariq, Sanne en de bemiddelaar bepalen samen wat herstel vraagt, bijvoorbeeld uitleg aan het team, een nieuwe kans op het dossier of een afspraak voor de toekomst.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Stap uit de rol. Vul de reflectie in over schuld, vergeving en verantwoordelijkheid.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Bespreek plenair: wat maakte een erkenning geloofwaardig, en wat deed haar tekortschieten?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7.</w:t>
      </w:r>
      <w:r>
        <w:tab/>
      </w:r>
      <w:r>
        <w:rPr>
          <w:rFonts w:ascii="Arial" w:cs="Arial" w:eastAsia="Arial" w:hAnsi="Arial"/>
          <w:sz w:val="20"/>
          <w:szCs w:val="20"/>
        </w:rPr>
        <w:t xml:space="preserve">Nazorg: kom kort uit de rol en bespreek hoe het was om deze rol te spelen.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DRIE-STAPPENKAART</w:t>
      </w:r>
    </w:p>
    <w:tbl>
      <w:tblPr>
        <w:tblW w:type="dxa" w:w="9906"/>
        <w:tblLayout w:type="fixed"/>
      </w:tblPr>
      <w:tblGrid>
        <w:gridCol w:w="2706"/>
        <w:gridCol w:w="3600"/>
        <w:gridCol w:w="3600"/>
      </w:tblGrid>
      <w:tr>
        <w:trPr>
          <w:cantSplit/>
          <w:tblHeader/>
        </w:trPr>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Stap</w:t>
            </w:r>
          </w:p>
        </w:tc>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zeg of schrijf ik?</w:t>
            </w:r>
          </w:p>
        </w:tc>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laat ik niet weg?</w:t>
            </w:r>
          </w:p>
        </w:tc>
      </w:tr>
      <w:tr>
        <w:trPr>
          <w:cantSplit/>
          <w:trHeight w:val="1000" w:hRule="atLeast"/>
        </w:trPr>
        <w:tc>
          <w:tcPr>
            <w:tcW w:type="dxa" w:w="2706"/>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1. Getuigenis (wie schade leed)</w:t>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2706"/>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2. Erkenning (wie verantwoordelijk is)</w:t>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2706"/>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3. Herstel (samen bepalen)</w:t>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REFLECTIE — SCHULD, VERGEVING, VERANTWOORDELIJKHEID</w:t>
      </w:r>
    </w:p>
    <w:tbl>
      <w:tblPr>
        <w:tblW w:type="dxa" w:w="9906"/>
        <w:tblLayout w:type="fixed"/>
      </w:tblPr>
      <w:tblGrid>
        <w:gridCol w:w="3000"/>
        <w:gridCol w:w="6906"/>
      </w:tblGrid>
      <w:tr>
        <w:trPr>
          <w:cantSplit/>
          <w:tblHeader/>
        </w:trPr>
        <w:tc>
          <w:tcPr>
            <w:tcW w:type="dxa" w:w="3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Begrip</w:t>
            </w:r>
          </w:p>
        </w:tc>
        <w:tc>
          <w:tcPr>
            <w:tcW w:type="dxa" w:w="6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betekent het in deze casus?</w:t>
            </w:r>
          </w:p>
        </w:tc>
      </w:tr>
      <w:tr>
        <w:trPr>
          <w:cantSplit/>
          <w:trHeight w:val="800" w:hRule="atLeast"/>
        </w:trPr>
        <w:tc>
          <w:tcPr>
            <w:tcW w:type="dxa" w:w="30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Schuld</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30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Vergeving</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30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Verantwoordelijkheid</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8A1B" w:color="auto" w:val="clear"/>
        </w:rPr>
        <w:t xml:space="preserve"> VOELEN </w:t>
      </w:r>
      <w:r>
        <w:rPr>
          <w:rFonts w:ascii="Arial" w:cs="Arial" w:eastAsia="Arial" w:hAnsi="Arial"/>
          <w:sz w:val="20"/>
          <w:szCs w:val="20"/>
        </w:rPr>
        <w:t xml:space="preserve">  Wat voelde je in je rol, en wat zegt dat over wat een erkenning moet bevatten?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Welke concrete stap in een werksituatie volgt uit deze drie stappen?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De Zuid-Afrikaanse Waarheids- en Verzoeningscommissie werd na het einde van de apartheid ingesteld. Zij hoorde getuigenissen van slachtoffers en van daders over ernstige schendingen van mensenrechten. Over haar uitkomsten bestaat discussie. Tutu (1999) en Gobodo-Madikizela (2003) schrijven erover. Wij gebruiken alleen het denkpatroon van getuigen, erkennen en herstellen, op een fictieve casus. Er wordt niets uit de hoorzittingen nagespeeld.</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de Zuid-Afrikaanse Waarheids- en Verzoeningscommissie; zie Tutu (1999) en Gobodo-Madikizela (2003).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MW61 Wat vraagt herstel? (Juridische zaken,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