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TEACHER VERSION · MW62</w:t>
            </w:r>
          </w:p>
          <w:p>
            <w:pPr>
              <w:spacing w:after="40" w:before="0" w:line="250"/>
            </w:pPr>
            <w:r>
              <w:rPr>
                <w:rFonts w:ascii="Arial" w:cs="Arial" w:eastAsia="Arial" w:hAnsi="Arial"/>
                <w:b/>
                <w:bCs/>
                <w:color w:val="FFFFFF"/>
                <w:sz w:val="34"/>
                <w:szCs w:val="34"/>
              </w:rPr>
              <w:t xml:space="preserve">Listen first, then move on together</w:t>
            </w:r>
          </w:p>
          <w:p>
            <w:pPr>
              <w:spacing w:after="0" w:before="0"/>
            </w:pPr>
            <w:r>
              <w:rPr>
                <w:rFonts w:ascii="Arial" w:cs="Arial" w:eastAsia="Arial" w:hAnsi="Arial"/>
                <w:color w:val="DDE6F0"/>
                <w:sz w:val="19"/>
                <w:szCs w:val="19"/>
              </w:rPr>
              <w:t xml:space="preserve">Suitable for: Vocational · Applied · Academic · Student life · English · to accompany the student version</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COMPLEXITY</w:t>
            </w:r>
          </w:p>
          <w:p>
            <w:pPr>
              <w:spacing w:after="0" w:before="0"/>
              <w:jc w:val="center"/>
            </w:pPr>
            <w:r>
              <w:rPr>
                <w:rFonts w:ascii="Arial" w:cs="Arial" w:eastAsia="Arial" w:hAnsi="Arial"/>
                <w:b/>
                <w:bCs/>
                <w:color w:val="FFFFFF"/>
                <w:sz w:val="26"/>
                <w:szCs w:val="26"/>
              </w:rPr>
              <w:t xml:space="preserve">MESO ★★☆</w:t>
            </w:r>
          </w:p>
        </w:tc>
      </w:tr>
    </w:tbl>
    <w:p>
      <w:pPr>
        <w:spacing w:after="4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LEARNING OUTCOMES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The student can describe which steps a group can take after a conflict to move on together. (Feeling)</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The student can listen to someone without judging and can say what they heard. (Feeling)</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The student can devise a joint follow-up action that helps the team keep going. (Persevering)</w:t>
      </w:r>
    </w:p>
    <w:p>
      <w:pPr>
        <w:keepNext/>
        <w:pBdr>
          <w:bottom w:val="single" w:color="5B2D8E" w:sz="8" w:space="2"/>
        </w:pBdr>
        <w:spacing w:after="90" w:before="200"/>
      </w:pPr>
      <w:r>
        <w:rPr>
          <w:rFonts w:ascii="Arial" w:cs="Arial" w:eastAsia="Arial" w:hAnsi="Arial"/>
          <w:b/>
          <w:bCs/>
          <w:color w:val="5B2D8E"/>
          <w:spacing w:val="30"/>
          <w:sz w:val="20"/>
          <w:szCs w:val="20"/>
        </w:rPr>
        <w:t xml:space="preserve">COMPLEXITY: WHY MESO?</w:t>
      </w:r>
    </w:p>
    <w:p>
      <w:pPr>
        <w:spacing w:after="60" w:before="0" w:line="264"/>
      </w:pPr>
      <w:r>
        <w:rPr>
          <w:rFonts w:ascii="Arial" w:cs="Arial" w:eastAsia="Arial" w:hAnsi="Arial"/>
          <w:b/>
          <w:bCs/>
          <w:sz w:val="20"/>
          <w:szCs w:val="20"/>
        </w:rPr>
        <w:t xml:space="preserve">Meso: the conflict lies in the group culture and the relationships within the team; no single person can resolve it alone.</w:t>
      </w:r>
    </w:p>
    <w:p>
      <w:pPr>
        <w:spacing w:after="70" w:before="0"/>
      </w:pPr>
      <w:r>
        <w:rPr>
          <w:rFonts w:ascii="Arial" w:cs="Arial" w:eastAsia="Arial" w:hAnsi="Arial"/>
          <w:i/>
          <w:iCs/>
          <w:color w:val="5F5E5A"/>
          <w:sz w:val="15"/>
          <w:szCs w:val="15"/>
        </w:rPr>
        <w:t xml:space="preserve">Classified according to the micro – meso – macro distinction (working definition, Lectoraat Ethisch Werken / Professorship Ethical Work, Fontys; inspired by the work of Meijer, 2023).</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Test: </w:t>
      </w:r>
      <w:r>
        <w:rPr>
          <w:rFonts w:ascii="Arial" w:cs="Arial" w:eastAsia="Arial" w:hAnsi="Arial"/>
          <w:sz w:val="20"/>
          <w:szCs w:val="20"/>
        </w:rPr>
        <w:t xml:space="preserve">“Who or what would have to change for this dilemma to disappear?” Answer: the way the team deals with conflict, exclusion and money, involving several people. That is Meso.</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Not Micro: </w:t>
      </w:r>
      <w:r>
        <w:rPr>
          <w:rFonts w:ascii="Arial" w:cs="Arial" w:eastAsia="Arial" w:hAnsi="Arial"/>
          <w:sz w:val="20"/>
          <w:szCs w:val="20"/>
        </w:rPr>
        <w:t xml:space="preserve">Mila’s own choice does not solve it; the relationships between all members are the core.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Note: </w:t>
      </w:r>
      <w:r>
        <w:rPr>
          <w:rFonts w:ascii="Arial" w:cs="Arial" w:eastAsia="Arial" w:hAnsi="Arial"/>
          <w:sz w:val="20"/>
          <w:szCs w:val="20"/>
        </w:rPr>
        <w:t xml:space="preserve">the case is about a team and not about one person to blame. Keep it fictional and avoid re-enacting real conflicts.</w:t>
      </w:r>
    </w:p>
    <w:p>
      <w:pPr>
        <w:keepNext/>
        <w:pBdr>
          <w:bottom w:val="single" w:color="5B2D8E" w:sz="8" w:space="2"/>
        </w:pBdr>
        <w:spacing w:after="90" w:before="200"/>
      </w:pPr>
      <w:r>
        <w:rPr>
          <w:rFonts w:ascii="Arial" w:cs="Arial" w:eastAsia="Arial" w:hAnsi="Arial"/>
          <w:b/>
          <w:bCs/>
          <w:color w:val="5B2D8E"/>
          <w:spacing w:val="30"/>
          <w:sz w:val="20"/>
          <w:szCs w:val="20"/>
        </w:rPr>
        <w:t xml:space="preserve">PREPARATION AND PROCEDURE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Materials: </w:t>
      </w:r>
      <w:r>
        <w:rPr>
          <w:rFonts w:ascii="Arial" w:cs="Arial" w:eastAsia="Arial" w:hAnsi="Arial"/>
          <w:sz w:val="20"/>
          <w:szCs w:val="20"/>
        </w:rPr>
        <w:t xml:space="preserve">student version, pens, chairs in a loose circle (or outside in a circle), optionally a candle or lamp as a symbol of the evening atmosphere.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Facilitator role: </w:t>
      </w:r>
      <w:r>
        <w:rPr>
          <w:rFonts w:ascii="Arial" w:cs="Arial" w:eastAsia="Arial" w:hAnsi="Arial"/>
          <w:sz w:val="20"/>
          <w:szCs w:val="20"/>
        </w:rPr>
        <w:t xml:space="preserve">explain the four phases and stress that telling is voluntary. Agree: one speaker at a time, listen without responding, what is said stays in the group.</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Safety: </w:t>
      </w:r>
      <w:r>
        <w:rPr>
          <w:rFonts w:ascii="Arial" w:cs="Arial" w:eastAsia="Arial" w:hAnsi="Arial"/>
          <w:sz w:val="20"/>
          <w:szCs w:val="20"/>
        </w:rPr>
        <w:t xml:space="preserve">work with the fictional case and not with real conflicts in the group. If you notice that someone is upset by the conversation, refer them to the student counsellor or a confidential adviser.</w:t>
      </w:r>
    </w:p>
    <w:p>
      <w:pPr>
        <w:keepNext/>
        <w:pBdr>
          <w:bottom w:val="single" w:color="5B2D8E" w:sz="8" w:space="2"/>
        </w:pBdr>
        <w:spacing w:after="90" w:before="200"/>
      </w:pPr>
      <w:r>
        <w:rPr>
          <w:rFonts w:ascii="Arial" w:cs="Arial" w:eastAsia="Arial" w:hAnsi="Arial"/>
          <w:b/>
          <w:bCs/>
          <w:color w:val="5B2D8E"/>
          <w:spacing w:val="30"/>
          <w:sz w:val="20"/>
          <w:szCs w:val="20"/>
        </w:rPr>
        <w:t xml:space="preserve">ORIGIN AND BACKGROUND</w:t>
      </w:r>
    </w:p>
    <w:p>
      <w:pPr>
        <w:spacing w:after="60" w:before="0" w:line="264"/>
      </w:pPr>
      <w:r>
        <w:rPr>
          <w:rFonts w:ascii="Arial" w:cs="Arial" w:eastAsia="Arial" w:hAnsi="Arial"/>
          <w:sz w:val="20"/>
          <w:szCs w:val="20"/>
        </w:rPr>
        <w:t xml:space="preserve">Fambul Tok is a Sierra Leonean community-level reconciliation process after the civil war. According to the organisation’s description (Catalyst for Peace &amp; Fambul Tok Sierra Leone, n.d.), it begins with consultation in the community, followed by an evening gathering where people tell their story, and then by follow-up activities that people do together.</w:t>
      </w:r>
    </w:p>
    <w:p>
      <w:pPr>
        <w:spacing w:after="60" w:before="0" w:line="264"/>
      </w:pPr>
      <w:r>
        <w:rPr>
          <w:rFonts w:ascii="Arial" w:cs="Arial" w:eastAsia="Arial" w:hAnsi="Arial"/>
          <w:sz w:val="20"/>
          <w:szCs w:val="20"/>
        </w:rPr>
        <w:t xml:space="preserve">Note: we do not adopt ceremonial and religious elements of the original process, such as cleansing and libation. Fambul Tok is an organisation’s name, so use the name bonfire dialogue and state the origin. This is about a group conflict in school and work, not about a war past. Do not draw a comparison between the two.</w:t>
      </w:r>
    </w:p>
    <w:p>
      <w:pPr>
        <w:keepNext/>
        <w:pBdr>
          <w:bottom w:val="single" w:color="5B2D8E" w:sz="8" w:space="2"/>
        </w:pBdr>
        <w:spacing w:after="90" w:before="200"/>
      </w:pPr>
      <w:r>
        <w:rPr>
          <w:rFonts w:ascii="Arial" w:cs="Arial" w:eastAsia="Arial" w:hAnsi="Arial"/>
          <w:b/>
          <w:bCs/>
          <w:color w:val="5B2D8E"/>
          <w:spacing w:val="30"/>
          <w:sz w:val="20"/>
          <w:szCs w:val="20"/>
        </w:rPr>
        <w:t xml:space="preserve">PITFALLS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Telling turns into accusing. Remind them of the first person and ask: what did you experience, and what did you need?</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The team jumps straight to doing together and skips acknowledging. Hold on to the sequence.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Students feel forced to share. Make clear that staying silent is allowed.</w:t>
      </w:r>
    </w:p>
    <w:p>
      <w:pPr>
        <w:keepNext/>
        <w:pBdr>
          <w:bottom w:val="single" w:color="5B2D8E" w:sz="8" w:space="2"/>
        </w:pBdr>
        <w:spacing w:after="90" w:before="200"/>
      </w:pPr>
      <w:r>
        <w:rPr>
          <w:rFonts w:ascii="Arial" w:cs="Arial" w:eastAsia="Arial" w:hAnsi="Arial"/>
          <w:b/>
          <w:bCs/>
          <w:color w:val="5B2D8E"/>
          <w:spacing w:val="30"/>
          <w:sz w:val="20"/>
          <w:szCs w:val="20"/>
        </w:rPr>
        <w:t xml:space="preserve">QUESTIONS THE FACILITATOR CAN ASK</w:t>
      </w:r>
    </w:p>
    <w:tbl>
      <w:tblPr>
        <w:tblW w:type="dxa" w:w="9906"/>
        <w:tblLayout w:type="fixed"/>
      </w:tblPr>
      <w:tblGrid>
        <w:gridCol w:w="1700"/>
        <w:gridCol w:w="8206"/>
      </w:tblGrid>
      <w:tr>
        <w:trPr>
          <w:cantSplit/>
          <w:tblHeader/>
        </w:trPr>
        <w:tc>
          <w:tcPr>
            <w:tcW w:type="dxa" w:w="17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Phase</w:t>
            </w:r>
          </w:p>
        </w:tc>
        <w:tc>
          <w:tcPr>
            <w:tcW w:type="dxa" w:w="82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Question</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Feeling</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“What does it do to you to hear this story?”</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Feeling</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“What did you need from the group at that moment?”</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Persevering</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“What is needed to keep doing this when it gets uncomfortable?”</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Persevering</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“Which follow-up action will the team still hold on to in three months?”</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VARIATIONS AND DIFFERENTIATION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Shorter (60 min): </w:t>
      </w:r>
      <w:r>
        <w:rPr>
          <w:rFonts w:ascii="Arial" w:cs="Arial" w:eastAsia="Arial" w:hAnsi="Arial"/>
          <w:sz w:val="20"/>
          <w:szCs w:val="20"/>
        </w:rPr>
        <w:t xml:space="preserve">do phase 1 beforehand as homework or run phase 2 in small groups.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Online: </w:t>
      </w:r>
      <w:r>
        <w:rPr>
          <w:rFonts w:ascii="Arial" w:cs="Arial" w:eastAsia="Arial" w:hAnsi="Arial"/>
          <w:sz w:val="20"/>
          <w:szCs w:val="20"/>
        </w:rPr>
        <w:t xml:space="preserve">work in small breakout groups and use a shared board for the four-phase card.</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Large group: </w:t>
      </w:r>
      <w:r>
        <w:rPr>
          <w:rFonts w:ascii="Arial" w:cs="Arial" w:eastAsia="Arial" w:hAnsi="Arial"/>
          <w:sz w:val="20"/>
          <w:szCs w:val="20"/>
        </w:rPr>
        <w:t xml:space="preserve">work in circles of four to six, with one facilitator per circle.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Follow-up: </w:t>
      </w:r>
      <w:r>
        <w:rPr>
          <w:rFonts w:ascii="Arial" w:cs="Arial" w:eastAsia="Arial" w:hAnsi="Arial"/>
          <w:sz w:val="20"/>
          <w:szCs w:val="20"/>
        </w:rPr>
        <w:t xml:space="preserve">let the team evaluate the follow-up action after a month.</w:t>
      </w:r>
    </w:p>
    <w:p>
      <w:pPr>
        <w:spacing w:after="40" w:before="0"/>
      </w:pPr>
      <w:r>
        <w:rPr>
          <w:rFonts w:ascii="Arial" w:cs="Arial" w:eastAsia="Arial" w:hAnsi="Arial"/>
          <w:sz w:val="10"/>
          <w:szCs w:val="10"/>
        </w:rPr>
        <w:t xml:space="preserve"/>
      </w:r>
    </w:p>
    <w:tbl>
      <w:tblPr>
        <w:tblW w:type="dxa" w:w="9906"/>
        <w:tblLayout w:type="fixed"/>
      </w:tblPr>
      <w:tblGrid>
        <w:gridCol w:w="1500"/>
        <w:gridCol w:w="2800"/>
        <w:gridCol w:w="2900"/>
        <w:gridCol w:w="2706"/>
      </w:tblGrid>
      <w:tr>
        <w:trPr>
          <w:cantSplit/>
          <w:tblHeader/>
        </w:trPr>
        <w:tc>
          <w:tcPr>
            <w:tcW w:type="dxa" w:w="15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
            </w:r>
          </w:p>
        </w:tc>
        <w:tc>
          <w:tcPr>
            <w:tcW w:type="dxa" w:w="28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Vocational</w:t>
            </w:r>
          </w:p>
        </w:tc>
        <w:tc>
          <w:tcPr>
            <w:tcW w:type="dxa" w:w="29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Applied</w:t>
            </w:r>
          </w:p>
        </w:tc>
        <w:tc>
          <w:tcPr>
            <w:tcW w:type="dxa" w:w="27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Academic</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Language</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B1, short sentences</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 up to about 25 words per sentence</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B2/C1, discipline terms</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Case</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internship and workplace situations, close to home</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professional case with several stakeholders</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case with a system or policy level</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Weighing</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intuition plus one question per step</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at least two ethical perspectives</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name and critique theories explicitly</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Reflection</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what did I do, what will I do next time</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a reasoned professional choice</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justification with literature</w:t>
            </w:r>
          </w:p>
        </w:tc>
      </w:tr>
    </w:tbl>
    <w:p>
      <w:pPr>
        <w:spacing w:after="40" w:before="0"/>
      </w:pPr>
      <w:r>
        <w:rPr>
          <w:rFonts w:ascii="Arial" w:cs="Arial" w:eastAsia="Arial" w:hAnsi="Arial"/>
          <w:sz w:val="10"/>
          <w:szCs w:val="10"/>
        </w:rPr>
        <w:t xml:space="preserve"/>
      </w:r>
    </w:p>
    <w:p>
      <w:pPr>
        <w:spacing w:after="80" w:before="0" w:line="264"/>
      </w:pPr>
      <w:r>
        <w:rPr>
          <w:rFonts w:ascii="Arial" w:cs="Arial" w:eastAsia="Arial" w:hAnsi="Arial"/>
          <w:sz w:val="19"/>
          <w:szCs w:val="19"/>
        </w:rPr>
        <w:t xml:space="preserve">For this method: with vocational students work with one phase at a time and short first-person sentences; with academic students compare the four-phase card with literature on restorative practice or group processes.</w:t>
      </w:r>
    </w:p>
    <w:p>
      <w:pPr>
        <w:keepNext/>
        <w:pBdr>
          <w:bottom w:val="single" w:color="5B2D8E" w:sz="8" w:space="2"/>
        </w:pBdr>
        <w:spacing w:after="90" w:before="200"/>
      </w:pPr>
      <w:r>
        <w:rPr>
          <w:rFonts w:ascii="Arial" w:cs="Arial" w:eastAsia="Arial" w:hAnsi="Arial"/>
          <w:b/>
          <w:bCs/>
          <w:color w:val="5B2D8E"/>
          <w:spacing w:val="30"/>
          <w:sz w:val="20"/>
          <w:szCs w:val="20"/>
        </w:rPr>
        <w:t xml:space="preserve">SOURCES (APA 7)</w:t>
      </w:r>
    </w:p>
    <w:p>
      <w:pPr>
        <w:spacing w:after="50" w:before="0" w:line="252"/>
        <w:ind w:left="360" w:hanging="360"/>
      </w:pPr>
      <w:r>
        <w:rPr>
          <w:rFonts w:ascii="Arial" w:cs="Arial" w:eastAsia="Arial" w:hAnsi="Arial"/>
          <w:color w:val="5F5E5A"/>
          <w:sz w:val="18"/>
          <w:szCs w:val="18"/>
        </w:rPr>
        <w:t xml:space="preserve">Catalyst for Peace &amp; Fambul Tok Sierra Leone. (n.d.). </w:t>
      </w:r>
      <w:r>
        <w:rPr>
          <w:rFonts w:ascii="Arial" w:cs="Arial" w:eastAsia="Arial" w:hAnsi="Arial"/>
          <w:i/>
          <w:iCs/>
          <w:color w:val="5F5E5A"/>
          <w:sz w:val="18"/>
          <w:szCs w:val="18"/>
        </w:rPr>
        <w:t xml:space="preserve">The nuts and bolts of the Fambul Tok process</w:t>
      </w:r>
      <w:r>
        <w:rPr>
          <w:rFonts w:ascii="Arial" w:cs="Arial" w:eastAsia="Arial" w:hAnsi="Arial"/>
          <w:color w:val="5F5E5A"/>
          <w:sz w:val="18"/>
          <w:szCs w:val="18"/>
        </w:rPr>
        <w:t xml:space="preserve">. https://www.fambultok.org/programs/reconciliation</w:t>
      </w:r>
    </w:p>
    <w:p>
      <w:pPr>
        <w:spacing w:after="50" w:before="0" w:line="252"/>
        <w:ind w:left="360" w:hanging="360"/>
      </w:pPr>
      <w:r>
        <w:rPr>
          <w:rFonts w:ascii="Arial" w:cs="Arial" w:eastAsia="Arial" w:hAnsi="Arial"/>
          <w:color w:val="5F5E5A"/>
          <w:sz w:val="18"/>
          <w:szCs w:val="18"/>
        </w:rPr>
        <w:t xml:space="preserve">Creative Commons. (n.d.). </w:t>
      </w:r>
      <w:r>
        <w:rPr>
          <w:rFonts w:ascii="Arial" w:cs="Arial" w:eastAsia="Arial" w:hAnsi="Arial"/>
          <w:i/>
          <w:iCs/>
          <w:color w:val="5F5E5A"/>
          <w:sz w:val="18"/>
          <w:szCs w:val="18"/>
        </w:rPr>
        <w:t xml:space="preserve">About CC licenses</w:t>
      </w:r>
      <w:r>
        <w:rPr>
          <w:rFonts w:ascii="Arial" w:cs="Arial" w:eastAsia="Arial" w:hAnsi="Arial"/>
          <w:color w:val="5F5E5A"/>
          <w:sz w:val="18"/>
          <w:szCs w:val="18"/>
        </w:rPr>
        <w:t xml:space="preserve">. https://creativecommons.org/share-your-work/cclicenses/</w:t>
      </w:r>
    </w:p>
    <w:p>
      <w:pPr>
        <w:spacing w:after="50" w:before="0" w:line="252"/>
        <w:ind w:left="360" w:hanging="360"/>
      </w:pPr>
      <w:r>
        <w:rPr>
          <w:rFonts w:ascii="Arial" w:cs="Arial" w:eastAsia="Arial" w:hAnsi="Arial"/>
          <w:color w:val="5F5E5A"/>
          <w:sz w:val="18"/>
          <w:szCs w:val="18"/>
        </w:rPr>
        <w:t xml:space="preserve">Meijer, K. M. T. (2023). </w:t>
      </w:r>
      <w:r>
        <w:rPr>
          <w:rFonts w:ascii="Arial" w:cs="Arial" w:eastAsia="Arial" w:hAnsi="Arial"/>
          <w:i/>
          <w:iCs/>
          <w:color w:val="5F5E5A"/>
          <w:sz w:val="18"/>
          <w:szCs w:val="18"/>
        </w:rPr>
        <w:t xml:space="preserve">Impossible and inevitable: Reconstructing the critique of business ethics</w:t>
      </w:r>
      <w:r>
        <w:rPr>
          <w:rFonts w:ascii="Arial" w:cs="Arial" w:eastAsia="Arial" w:hAnsi="Arial"/>
          <w:color w:val="5F5E5A"/>
          <w:sz w:val="18"/>
          <w:szCs w:val="18"/>
        </w:rPr>
        <w:t xml:space="preserve"> [Doctoral dissertation, Tilburg University]. Ridderprint. https://research.tilburguniversity.edu/en/publications/impossible-and-inevitable-reconstructing-the-critique-of-business/</w:t>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Method inspired by: Fambul Tok (Sierra Leone); see Catalyst for Peace &amp; Fambul Tok Sierra Leone (n.d.). Adaptation and case: Moreel Vakmanschap, moreelvakmanschap.nl. Licence: CC BY-SA 4.0 – https://creativecommons.org/licenses/by-sa/4.0/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PROFESSORSHIP ETHICAL WORK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MW62 Listen first, then move on together (Student life, EN)</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