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Layout w:type="fixed"/>
      </w:tblPr>
      <w:tblGrid>
        <w:gridCol w:w="7300"/>
        <w:gridCol w:w="2606"/>
      </w:tblGrid>
      <w:tr>
        <w:trPr>
          <w:cantSplit/>
        </w:trPr>
        <w:tc>
          <w:tcPr>
            <w:tcW w:type="dxa" w:w="7300"/>
            <w:tcBorders>
              <w:top w:val="none" w:color="FFFFFF" w:sz="0"/>
              <w:left w:val="none" w:color="FFFFFF" w:sz="0"/>
              <w:bottom w:val="single" w:color="D4A373" w:sz="24"/>
              <w:right w:val="none" w:color="FFFFFF" w:sz="0"/>
            </w:tcBorders>
            <w:shd w:fill="3F5E5A" w:color="auto" w:val="clear"/>
            <w:tcMar>
              <w:top w:type="dxa" w:w="140"/>
              <w:left w:type="dxa" w:w="220"/>
              <w:bottom w:type="dxa" w:w="140"/>
              <w:right w:type="dxa" w:w="120"/>
            </w:tcMar>
          </w:tcPr>
          <w:p>
            <w:pPr>
              <w:spacing w:after="40" w:before="0"/>
            </w:pPr>
            <w:r>
              <w:rPr>
                <w:rFonts w:ascii="Arial" w:cs="Arial" w:eastAsia="Arial" w:hAnsi="Arial"/>
                <w:b/>
                <w:bCs/>
                <w:color w:val="F3C98B"/>
                <w:spacing w:val="30"/>
                <w:sz w:val="16"/>
                <w:szCs w:val="16"/>
              </w:rPr>
              <w:t xml:space="preserve">DOCENTENVERSIE · MW62</w:t>
            </w:r>
          </w:p>
          <w:p>
            <w:pPr>
              <w:spacing w:after="40" w:before="0" w:line="250"/>
            </w:pPr>
            <w:r>
              <w:rPr>
                <w:rFonts w:ascii="Arial" w:cs="Arial" w:eastAsia="Arial" w:hAnsi="Arial"/>
                <w:b/>
                <w:bCs/>
                <w:color w:val="FFFFFF"/>
                <w:sz w:val="34"/>
                <w:szCs w:val="34"/>
              </w:rPr>
              <w:t xml:space="preserve">Eerst luisteren, dan samen verder</w:t>
            </w:r>
          </w:p>
          <w:p>
            <w:pPr>
              <w:spacing w:after="0" w:before="0"/>
            </w:pPr>
            <w:r>
              <w:rPr>
                <w:rFonts w:ascii="Arial" w:cs="Arial" w:eastAsia="Arial" w:hAnsi="Arial"/>
                <w:color w:val="DDE6F0"/>
                <w:sz w:val="19"/>
                <w:szCs w:val="19"/>
              </w:rPr>
              <w:t xml:space="preserve">Geschikt voor: MBO · HBO · WO · Studentenleven · Nederlands · bij de studentenversie</w:t>
            </w:r>
          </w:p>
        </w:tc>
        <w:tc>
          <w:tcPr>
            <w:tcW w:type="dxa" w:w="2606"/>
            <w:tcBorders>
              <w:top w:val="none" w:color="FFFFFF" w:sz="0"/>
              <w:left w:val="none" w:color="FFFFFF" w:sz="0"/>
              <w:bottom w:val="single" w:color="D4A373" w:sz="24"/>
              <w:right w:val="none" w:color="FFFFFF" w:sz="0"/>
            </w:tcBorders>
            <w:shd w:fill="993556" w:color="auto" w:val="clear"/>
            <w:tcMar>
              <w:top w:type="dxa" w:w="100"/>
              <w:left w:type="dxa" w:w="100"/>
              <w:bottom w:type="dxa" w:w="100"/>
              <w:right w:type="dxa" w:w="100"/>
            </w:tcMar>
            <w:vAlign w:val="center"/>
          </w:tcPr>
          <w:p>
            <w:pPr>
              <w:spacing w:after="30" w:before="0"/>
              <w:jc w:val="center"/>
            </w:pPr>
            <w:r>
              <w:rPr>
                <w:rFonts w:ascii="Arial" w:cs="Arial" w:eastAsia="Arial" w:hAnsi="Arial"/>
                <w:b/>
                <w:bCs/>
                <w:color w:val="F5D9E2"/>
                <w:spacing w:val="30"/>
                <w:sz w:val="14"/>
                <w:szCs w:val="14"/>
              </w:rPr>
              <w:t xml:space="preserve">COMPLEXITEIT</w:t>
            </w:r>
          </w:p>
          <w:p>
            <w:pPr>
              <w:spacing w:after="0" w:before="0"/>
              <w:jc w:val="center"/>
            </w:pPr>
            <w:r>
              <w:rPr>
                <w:rFonts w:ascii="Arial" w:cs="Arial" w:eastAsia="Arial" w:hAnsi="Arial"/>
                <w:b/>
                <w:bCs/>
                <w:color w:val="FFFFFF"/>
                <w:sz w:val="26"/>
                <w:szCs w:val="26"/>
              </w:rPr>
              <w:t xml:space="preserve">MESO ★★☆</w:t>
            </w:r>
          </w:p>
        </w:tc>
      </w:tr>
    </w:tbl>
    <w:p>
      <w:pPr>
        <w:spacing w:after="40" w:before="0"/>
      </w:pPr>
      <w:r>
        <w:rPr>
          <w:rFonts w:ascii="Arial" w:cs="Arial" w:eastAsia="Arial" w:hAnsi="Arial"/>
          <w:sz w:val="10"/>
          <w:szCs w:val="10"/>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LEERUITKOMSTEN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De student kan beschrijven welke stappen een groep na een conflict kan zetten om samen verder te gaan. (Voelen)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De student kan luisteren naar een ander zonder te oordelen en kan benoemen wat hij of zij heeft gehoord. (Voelen)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De student kan een gezamenlijke vervolgactie bedenken die het team helpt het werk vol te houden. (Volhouden)</w:t>
      </w:r>
    </w:p>
    <w:p>
      <w:pPr>
        <w:keepNext/>
        <w:pBdr>
          <w:bottom w:val="single" w:color="5B2D8E" w:sz="8" w:space="2"/>
        </w:pBdr>
        <w:spacing w:after="90" w:before="200"/>
      </w:pPr>
      <w:r>
        <w:rPr>
          <w:rFonts w:ascii="Arial" w:cs="Arial" w:eastAsia="Arial" w:hAnsi="Arial"/>
          <w:b/>
          <w:bCs/>
          <w:color w:val="5B2D8E"/>
          <w:spacing w:val="30"/>
          <w:sz w:val="20"/>
          <w:szCs w:val="20"/>
        </w:rPr>
        <w:t xml:space="preserve">COMPLEXITEIT: WAAROM MESO?</w:t>
      </w:r>
    </w:p>
    <w:p>
      <w:pPr>
        <w:spacing w:after="60" w:before="0" w:line="264"/>
      </w:pPr>
      <w:r>
        <w:rPr>
          <w:rFonts w:ascii="Arial" w:cs="Arial" w:eastAsia="Arial" w:hAnsi="Arial"/>
          <w:b/>
          <w:bCs/>
          <w:sz w:val="20"/>
          <w:szCs w:val="20"/>
        </w:rPr>
        <w:t xml:space="preserve">Meso: het conflict zit in de groepscultuur en de verhoudingen binnen het team; geen enkele persoon kan het alleen oplossen.</w:t>
      </w:r>
    </w:p>
    <w:p>
      <w:pPr>
        <w:spacing w:after="70" w:before="0"/>
      </w:pPr>
      <w:r>
        <w:rPr>
          <w:rFonts w:ascii="Arial" w:cs="Arial" w:eastAsia="Arial" w:hAnsi="Arial"/>
          <w:i/>
          <w:iCs/>
          <w:color w:val="5F5E5A"/>
          <w:sz w:val="15"/>
          <w:szCs w:val="15"/>
        </w:rPr>
        <w:t xml:space="preserve">Indeling volgens de driedeling micro – meso – macro (werkdefinitie Lectoraat Ethisch Werken, Fontys; geïnspireerd op het werk van Meijer, 2023).</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Toets: </w:t>
      </w:r>
      <w:r>
        <w:rPr>
          <w:rFonts w:ascii="Arial" w:cs="Arial" w:eastAsia="Arial" w:hAnsi="Arial"/>
          <w:sz w:val="20"/>
          <w:szCs w:val="20"/>
        </w:rPr>
        <w:t xml:space="preserve">“Wie of wat zou er moeten veranderen om dit dilemma te laten verdwijnen?” Antwoord: de manier waarop het team met conflict, uitsluiting en geld omgaat, met meerdere betrokkenen. Dat is Meso.</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Niet Micro: </w:t>
      </w:r>
      <w:r>
        <w:rPr>
          <w:rFonts w:ascii="Arial" w:cs="Arial" w:eastAsia="Arial" w:hAnsi="Arial"/>
          <w:sz w:val="20"/>
          <w:szCs w:val="20"/>
        </w:rPr>
        <w:t xml:space="preserve">Mila’s eigen keuze lost het niet op; de relaties tussen alle leden zijn de kern.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Let op: </w:t>
      </w:r>
      <w:r>
        <w:rPr>
          <w:rFonts w:ascii="Arial" w:cs="Arial" w:eastAsia="Arial" w:hAnsi="Arial"/>
          <w:sz w:val="20"/>
          <w:szCs w:val="20"/>
        </w:rPr>
        <w:t xml:space="preserve">de casus gaat over een team en niet over een persoon met schuld. Houd het fictief en vermijd het naspelen van echte conflicten.</w:t>
      </w:r>
    </w:p>
    <w:p>
      <w:pPr>
        <w:keepNext/>
        <w:pBdr>
          <w:bottom w:val="single" w:color="5B2D8E" w:sz="8" w:space="2"/>
        </w:pBdr>
        <w:spacing w:after="90" w:before="200"/>
      </w:pPr>
      <w:r>
        <w:rPr>
          <w:rFonts w:ascii="Arial" w:cs="Arial" w:eastAsia="Arial" w:hAnsi="Arial"/>
          <w:b/>
          <w:bCs/>
          <w:color w:val="5B2D8E"/>
          <w:spacing w:val="30"/>
          <w:sz w:val="20"/>
          <w:szCs w:val="20"/>
        </w:rPr>
        <w:t xml:space="preserve">VOORBEREIDING EN VERLOOP</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Materiaal: </w:t>
      </w:r>
      <w:r>
        <w:rPr>
          <w:rFonts w:ascii="Arial" w:cs="Arial" w:eastAsia="Arial" w:hAnsi="Arial"/>
          <w:sz w:val="20"/>
          <w:szCs w:val="20"/>
        </w:rPr>
        <w:t xml:space="preserve">studentenversie, pennen, stoelen in een losse kring (of buiten in de kring), eventueel een kaars of lamp als symbool voor de avondsfeer.</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Rol van de begeleider: </w:t>
      </w:r>
      <w:r>
        <w:rPr>
          <w:rFonts w:ascii="Arial" w:cs="Arial" w:eastAsia="Arial" w:hAnsi="Arial"/>
          <w:sz w:val="20"/>
          <w:szCs w:val="20"/>
        </w:rPr>
        <w:t xml:space="preserve">leg de vier fasen uit en benadruk dat vertellen vrijwillig is. Spreek af: één spreker tegelijk, luisteren zonder te reageren, wat gezegd wordt blijft in de groep.</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Veiligheid: </w:t>
      </w:r>
      <w:r>
        <w:rPr>
          <w:rFonts w:ascii="Arial" w:cs="Arial" w:eastAsia="Arial" w:hAnsi="Arial"/>
          <w:sz w:val="20"/>
          <w:szCs w:val="20"/>
        </w:rPr>
        <w:t xml:space="preserve">werk met de fictieve casus en niet met echte conflicten in de groep. Signaleer je dat iemand door het gesprek overstuur raakt, verwijs dan door naar de studentendecaan of een vertrouwenspersoon.</w:t>
      </w:r>
    </w:p>
    <w:p>
      <w:pPr>
        <w:keepNext/>
        <w:pBdr>
          <w:bottom w:val="single" w:color="5B2D8E" w:sz="8" w:space="2"/>
        </w:pBdr>
        <w:spacing w:after="90" w:before="200"/>
      </w:pPr>
      <w:r>
        <w:rPr>
          <w:rFonts w:ascii="Arial" w:cs="Arial" w:eastAsia="Arial" w:hAnsi="Arial"/>
          <w:b/>
          <w:bCs/>
          <w:color w:val="5B2D8E"/>
          <w:spacing w:val="30"/>
          <w:sz w:val="20"/>
          <w:szCs w:val="20"/>
        </w:rPr>
        <w:t xml:space="preserve">HERKOMST EN ACHTERGROND</w:t>
      </w:r>
    </w:p>
    <w:p>
      <w:pPr>
        <w:spacing w:after="60" w:before="0" w:line="264"/>
      </w:pPr>
      <w:r>
        <w:rPr>
          <w:rFonts w:ascii="Arial" w:cs="Arial" w:eastAsia="Arial" w:hAnsi="Arial"/>
          <w:sz w:val="20"/>
          <w:szCs w:val="20"/>
        </w:rPr>
        <w:t xml:space="preserve">Fambul Tok is een Sierra Leoons proces van verzoening op gemeenschapsniveau na de burgeroorlog. Volgens de beschrijving van de organisatie (Catalyst for Peace &amp; Fambul Tok Sierra Leone, z.d.) begint het met overleg in de gemeenschap, gevolgd door een avondbijeenkomst waar mensen hun verhaal vertellen, en daarna door vervolgactiviteiten die mensen samen doen.</w:t>
      </w:r>
    </w:p>
    <w:p>
      <w:pPr>
        <w:spacing w:after="60" w:before="0" w:line="264"/>
      </w:pPr>
      <w:r>
        <w:rPr>
          <w:rFonts w:ascii="Arial" w:cs="Arial" w:eastAsia="Arial" w:hAnsi="Arial"/>
          <w:sz w:val="20"/>
          <w:szCs w:val="20"/>
        </w:rPr>
        <w:t xml:space="preserve">Let op: ceremoniële en religieuze elementen van het oorspronkelijke proces, zoals reiniging en plengoffer, nemen wij niet over. Fambul Tok is een organisatienaam, dus gebruik de naam kampvuurgesprek en vermeld de herkomst. Het gaat hier om een groepsconflict op school en werk, en niet om oorlogsverleden. Trek geen vergelijking tussen beide.</w:t>
      </w:r>
    </w:p>
    <w:p>
      <w:pPr>
        <w:keepNext/>
        <w:pBdr>
          <w:bottom w:val="single" w:color="5B2D8E" w:sz="8" w:space="2"/>
        </w:pBdr>
        <w:spacing w:after="90" w:before="200"/>
      </w:pPr>
      <w:r>
        <w:rPr>
          <w:rFonts w:ascii="Arial" w:cs="Arial" w:eastAsia="Arial" w:hAnsi="Arial"/>
          <w:b/>
          <w:bCs/>
          <w:color w:val="5B2D8E"/>
          <w:spacing w:val="30"/>
          <w:sz w:val="20"/>
          <w:szCs w:val="20"/>
        </w:rPr>
        <w:t xml:space="preserve">VALKUILEN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Vertellen verandert in beschuldigen. Herinner aan de ik-vorm en vraag: wat heb je meegemaakt, en wat had je nodig?</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Het team springt direct naar samen doen en slaat erkennen over. Houd de volgorde vast.</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Studenten voelen zich gedwongen om te delen. Maak duidelijk dat zwijgen is toegestaan.</w:t>
      </w:r>
    </w:p>
    <w:p>
      <w:pPr>
        <w:keepNext/>
        <w:pBdr>
          <w:bottom w:val="single" w:color="5B2D8E" w:sz="8" w:space="2"/>
        </w:pBdr>
        <w:spacing w:after="90" w:before="200"/>
      </w:pPr>
      <w:r>
        <w:rPr>
          <w:rFonts w:ascii="Arial" w:cs="Arial" w:eastAsia="Arial" w:hAnsi="Arial"/>
          <w:b/>
          <w:bCs/>
          <w:color w:val="5B2D8E"/>
          <w:spacing w:val="30"/>
          <w:sz w:val="20"/>
          <w:szCs w:val="20"/>
        </w:rPr>
        <w:t xml:space="preserve">VRAGEN DIE DE BEGELEIDER KAN STELLEN</w:t>
      </w:r>
    </w:p>
    <w:tbl>
      <w:tblPr>
        <w:tblW w:type="dxa" w:w="9906"/>
        <w:tblLayout w:type="fixed"/>
      </w:tblPr>
      <w:tblGrid>
        <w:gridCol w:w="1700"/>
        <w:gridCol w:w="8206"/>
      </w:tblGrid>
      <w:tr>
        <w:trPr>
          <w:cantSplit/>
          <w:tblHeader/>
        </w:trPr>
        <w:tc>
          <w:tcPr>
            <w:tcW w:type="dxa" w:w="17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Fase</w:t>
            </w:r>
          </w:p>
        </w:tc>
        <w:tc>
          <w:tcPr>
            <w:tcW w:type="dxa" w:w="82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Vraag</w:t>
            </w:r>
          </w:p>
        </w:tc>
      </w:tr>
      <w:tr>
        <w:trPr>
          <w:cantSplit/>
        </w:trPr>
        <w:tc>
          <w:tcPr>
            <w:tcW w:type="dxa" w:w="17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Voelen</w:t>
            </w:r>
          </w:p>
        </w:tc>
        <w:tc>
          <w:tcPr>
            <w:tcW w:type="dxa" w:w="82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“Wat doet het met je om dit verhaal te horen?”</w:t>
            </w:r>
          </w:p>
        </w:tc>
      </w:tr>
      <w:tr>
        <w:trPr>
          <w:cantSplit/>
        </w:trPr>
        <w:tc>
          <w:tcPr>
            <w:tcW w:type="dxa" w:w="17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Voelen</w:t>
            </w:r>
          </w:p>
        </w:tc>
        <w:tc>
          <w:tcPr>
            <w:tcW w:type="dxa" w:w="82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“Wat had je op dat moment nodig van de groep?”</w:t>
            </w:r>
          </w:p>
        </w:tc>
      </w:tr>
      <w:tr>
        <w:trPr>
          <w:cantSplit/>
        </w:trPr>
        <w:tc>
          <w:tcPr>
            <w:tcW w:type="dxa" w:w="17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Volhouden</w:t>
            </w:r>
          </w:p>
        </w:tc>
        <w:tc>
          <w:tcPr>
            <w:tcW w:type="dxa" w:w="82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“Wat is er nodig om dit te kunnen blijven doen als het ongemakkelijk wordt?”</w:t>
            </w:r>
          </w:p>
        </w:tc>
      </w:tr>
      <w:tr>
        <w:trPr>
          <w:cantSplit/>
        </w:trPr>
        <w:tc>
          <w:tcPr>
            <w:tcW w:type="dxa" w:w="17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Volhouden</w:t>
            </w:r>
          </w:p>
        </w:tc>
        <w:tc>
          <w:tcPr>
            <w:tcW w:type="dxa" w:w="82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“Welke vervolgactie houdt het team ook over drie maanden nog vast?”</w:t>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VARIATIES EN DIFFERENTIATIE</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Korter (60 min): </w:t>
      </w:r>
      <w:r>
        <w:rPr>
          <w:rFonts w:ascii="Arial" w:cs="Arial" w:eastAsia="Arial" w:hAnsi="Arial"/>
          <w:sz w:val="20"/>
          <w:szCs w:val="20"/>
        </w:rPr>
        <w:t xml:space="preserve">neem fase 1 vooraf in als huiswerk of voer fase 2 in groepjes uit.</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Online: </w:t>
      </w:r>
      <w:r>
        <w:rPr>
          <w:rFonts w:ascii="Arial" w:cs="Arial" w:eastAsia="Arial" w:hAnsi="Arial"/>
          <w:sz w:val="20"/>
          <w:szCs w:val="20"/>
        </w:rPr>
        <w:t xml:space="preserve">werk in kleine breakoutgroepen en gebruik een gedeeld bord voor de vierfasenkaart.</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Grote groep: </w:t>
      </w:r>
      <w:r>
        <w:rPr>
          <w:rFonts w:ascii="Arial" w:cs="Arial" w:eastAsia="Arial" w:hAnsi="Arial"/>
          <w:sz w:val="20"/>
          <w:szCs w:val="20"/>
        </w:rPr>
        <w:t xml:space="preserve">werk in kringen van vier tot zes, met één gespreksleider per kring.</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Vervolg: </w:t>
      </w:r>
      <w:r>
        <w:rPr>
          <w:rFonts w:ascii="Arial" w:cs="Arial" w:eastAsia="Arial" w:hAnsi="Arial"/>
          <w:sz w:val="20"/>
          <w:szCs w:val="20"/>
        </w:rPr>
        <w:t xml:space="preserve">laat het team na een maand de vervolgactie evalueren.</w:t>
      </w:r>
    </w:p>
    <w:p>
      <w:pPr>
        <w:spacing w:after="40" w:before="0"/>
      </w:pPr>
      <w:r>
        <w:rPr>
          <w:rFonts w:ascii="Arial" w:cs="Arial" w:eastAsia="Arial" w:hAnsi="Arial"/>
          <w:sz w:val="10"/>
          <w:szCs w:val="10"/>
        </w:rPr>
        <w:t xml:space="preserve"/>
      </w:r>
    </w:p>
    <w:tbl>
      <w:tblPr>
        <w:tblW w:type="dxa" w:w="9906"/>
        <w:tblLayout w:type="fixed"/>
      </w:tblPr>
      <w:tblGrid>
        <w:gridCol w:w="1500"/>
        <w:gridCol w:w="2800"/>
        <w:gridCol w:w="2900"/>
        <w:gridCol w:w="2706"/>
      </w:tblGrid>
      <w:tr>
        <w:trPr>
          <w:cantSplit/>
          <w:tblHeader/>
        </w:trPr>
        <w:tc>
          <w:tcPr>
            <w:tcW w:type="dxa" w:w="15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
            </w:r>
          </w:p>
        </w:tc>
        <w:tc>
          <w:tcPr>
            <w:tcW w:type="dxa" w:w="28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MBO</w:t>
            </w:r>
          </w:p>
        </w:tc>
        <w:tc>
          <w:tcPr>
            <w:tcW w:type="dxa" w:w="29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HBO</w:t>
            </w:r>
          </w:p>
        </w:tc>
        <w:tc>
          <w:tcPr>
            <w:tcW w:type="dxa" w:w="27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WO</w:t>
            </w:r>
          </w:p>
        </w:tc>
      </w:tr>
      <w:tr>
        <w:trPr>
          <w:cantSplit/>
        </w:trPr>
        <w:tc>
          <w:tcPr>
            <w:tcW w:type="dxa" w:w="15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Taal</w:t>
            </w:r>
          </w:p>
        </w:tc>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B1, korte zinnen</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B2, max. ca. 25 woorden per zin</w:t>
            </w:r>
          </w:p>
        </w:tc>
        <w:tc>
          <w:tcPr>
            <w:tcW w:type="dxa" w:w="27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B2/C1, vakbegrippen</w:t>
            </w:r>
          </w:p>
        </w:tc>
      </w:tr>
      <w:tr>
        <w:trPr>
          <w:cantSplit/>
        </w:trPr>
        <w:tc>
          <w:tcPr>
            <w:tcW w:type="dxa" w:w="15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Casus</w:t>
            </w:r>
          </w:p>
        </w:tc>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stage- en werksituaties, dichtbij</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beroepscasus met meerdere belanghebbenden</w:t>
            </w:r>
          </w:p>
        </w:tc>
        <w:tc>
          <w:tcPr>
            <w:tcW w:type="dxa" w:w="27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casus met systeem- of beleidsniveau</w:t>
            </w:r>
          </w:p>
        </w:tc>
      </w:tr>
      <w:tr>
        <w:trPr>
          <w:cantSplit/>
        </w:trPr>
        <w:tc>
          <w:tcPr>
            <w:tcW w:type="dxa" w:w="15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Afwegen</w:t>
            </w:r>
          </w:p>
        </w:tc>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intuïtie + één vraag per stap</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minstens twee ethische perspectieven</w:t>
            </w:r>
          </w:p>
        </w:tc>
        <w:tc>
          <w:tcPr>
            <w:tcW w:type="dxa" w:w="27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theorieën expliciet benoemen en bekritiseren</w:t>
            </w:r>
          </w:p>
        </w:tc>
      </w:tr>
      <w:tr>
        <w:trPr>
          <w:cantSplit/>
        </w:trPr>
        <w:tc>
          <w:tcPr>
            <w:tcW w:type="dxa" w:w="15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Reflectie</w:t>
            </w:r>
          </w:p>
        </w:tc>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wat deed ik, wat doe ik volgende keer</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onderbouwde professionele keuze</w:t>
            </w:r>
          </w:p>
        </w:tc>
        <w:tc>
          <w:tcPr>
            <w:tcW w:type="dxa" w:w="27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verantwoording met literatuur</w:t>
            </w:r>
          </w:p>
        </w:tc>
      </w:tr>
    </w:tbl>
    <w:p>
      <w:pPr>
        <w:spacing w:after="40" w:before="0"/>
      </w:pPr>
      <w:r>
        <w:rPr>
          <w:rFonts w:ascii="Arial" w:cs="Arial" w:eastAsia="Arial" w:hAnsi="Arial"/>
          <w:sz w:val="10"/>
          <w:szCs w:val="10"/>
        </w:rPr>
        <w:t xml:space="preserve"/>
      </w:r>
    </w:p>
    <w:p>
      <w:pPr>
        <w:spacing w:after="80" w:before="0" w:line="264"/>
      </w:pPr>
      <w:r>
        <w:rPr>
          <w:rFonts w:ascii="Arial" w:cs="Arial" w:eastAsia="Arial" w:hAnsi="Arial"/>
          <w:sz w:val="19"/>
          <w:szCs w:val="19"/>
        </w:rPr>
        <w:t xml:space="preserve">Voor deze werkvorm: bij MBO werk je met één fase tegelijk en korte ik-zinnen; bij WO laat je de vierfasenkaart vergelijken met literatuur over herstelgericht werken of groepsprocessen.</w:t>
      </w:r>
    </w:p>
    <w:p>
      <w:pPr>
        <w:keepNext/>
        <w:pBdr>
          <w:bottom w:val="single" w:color="5B2D8E" w:sz="8" w:space="2"/>
        </w:pBdr>
        <w:spacing w:after="90" w:before="200"/>
      </w:pPr>
      <w:r>
        <w:rPr>
          <w:rFonts w:ascii="Arial" w:cs="Arial" w:eastAsia="Arial" w:hAnsi="Arial"/>
          <w:b/>
          <w:bCs/>
          <w:color w:val="5B2D8E"/>
          <w:spacing w:val="30"/>
          <w:sz w:val="20"/>
          <w:szCs w:val="20"/>
        </w:rPr>
        <w:t xml:space="preserve">BRONNEN (APA 7)</w:t>
      </w:r>
    </w:p>
    <w:p>
      <w:pPr>
        <w:spacing w:after="50" w:before="0" w:line="252"/>
        <w:ind w:left="360" w:hanging="360"/>
      </w:pPr>
      <w:r>
        <w:rPr>
          <w:rFonts w:ascii="Arial" w:cs="Arial" w:eastAsia="Arial" w:hAnsi="Arial"/>
          <w:color w:val="5F5E5A"/>
          <w:sz w:val="18"/>
          <w:szCs w:val="18"/>
        </w:rPr>
        <w:t xml:space="preserve">Catalyst for Peace &amp; Fambul Tok Sierra Leone. (z.d.). </w:t>
      </w:r>
      <w:r>
        <w:rPr>
          <w:rFonts w:ascii="Arial" w:cs="Arial" w:eastAsia="Arial" w:hAnsi="Arial"/>
          <w:i/>
          <w:iCs/>
          <w:color w:val="5F5E5A"/>
          <w:sz w:val="18"/>
          <w:szCs w:val="18"/>
        </w:rPr>
        <w:t xml:space="preserve">The nuts and bolts of the Fambul Tok process</w:t>
      </w:r>
      <w:r>
        <w:rPr>
          <w:rFonts w:ascii="Arial" w:cs="Arial" w:eastAsia="Arial" w:hAnsi="Arial"/>
          <w:color w:val="5F5E5A"/>
          <w:sz w:val="18"/>
          <w:szCs w:val="18"/>
        </w:rPr>
        <w:t xml:space="preserve">. https://www.fambultok.org/programs/reconciliation</w:t>
      </w:r>
    </w:p>
    <w:p>
      <w:pPr>
        <w:spacing w:after="50" w:before="0" w:line="252"/>
        <w:ind w:left="360" w:hanging="360"/>
      </w:pPr>
      <w:r>
        <w:rPr>
          <w:rFonts w:ascii="Arial" w:cs="Arial" w:eastAsia="Arial" w:hAnsi="Arial"/>
          <w:color w:val="5F5E5A"/>
          <w:sz w:val="18"/>
          <w:szCs w:val="18"/>
        </w:rPr>
        <w:t xml:space="preserve">Creative Commons. (z.d.). </w:t>
      </w:r>
      <w:r>
        <w:rPr>
          <w:rFonts w:ascii="Arial" w:cs="Arial" w:eastAsia="Arial" w:hAnsi="Arial"/>
          <w:i/>
          <w:iCs/>
          <w:color w:val="5F5E5A"/>
          <w:sz w:val="18"/>
          <w:szCs w:val="18"/>
        </w:rPr>
        <w:t xml:space="preserve">About CC licenses</w:t>
      </w:r>
      <w:r>
        <w:rPr>
          <w:rFonts w:ascii="Arial" w:cs="Arial" w:eastAsia="Arial" w:hAnsi="Arial"/>
          <w:color w:val="5F5E5A"/>
          <w:sz w:val="18"/>
          <w:szCs w:val="18"/>
        </w:rPr>
        <w:t xml:space="preserve">. https://creativecommons.org/share-your-work/cclicenses/</w:t>
      </w:r>
    </w:p>
    <w:p>
      <w:pPr>
        <w:spacing w:after="50" w:before="0" w:line="252"/>
        <w:ind w:left="360" w:hanging="360"/>
      </w:pPr>
      <w:r>
        <w:rPr>
          <w:rFonts w:ascii="Arial" w:cs="Arial" w:eastAsia="Arial" w:hAnsi="Arial"/>
          <w:color w:val="5F5E5A"/>
          <w:sz w:val="18"/>
          <w:szCs w:val="18"/>
        </w:rPr>
        <w:t xml:space="preserve">Meijer, K. M. T. (2023). </w:t>
      </w:r>
      <w:r>
        <w:rPr>
          <w:rFonts w:ascii="Arial" w:cs="Arial" w:eastAsia="Arial" w:hAnsi="Arial"/>
          <w:i/>
          <w:iCs/>
          <w:color w:val="5F5E5A"/>
          <w:sz w:val="18"/>
          <w:szCs w:val="18"/>
        </w:rPr>
        <w:t xml:space="preserve">Impossible and inevitable: Reconstructing the critique of business ethics</w:t>
      </w:r>
      <w:r>
        <w:rPr>
          <w:rFonts w:ascii="Arial" w:cs="Arial" w:eastAsia="Arial" w:hAnsi="Arial"/>
          <w:color w:val="5F5E5A"/>
          <w:sz w:val="18"/>
          <w:szCs w:val="18"/>
        </w:rPr>
        <w:t xml:space="preserve"> [Proefschrift, Tilburg University]. Ridderprint. https://research.tilburguniversity.edu/en/publications/impossible-and-inevitable-reconstructing-the-critique-of-business/</w:t>
      </w:r>
    </w:p>
    <w:sectPr>
      <w:headerReference w:type="default" r:id="rId7"/>
      <w:footerReference w:type="default" r:id="rId8"/>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Werkvorm geïnspireerd op: Fambul Tok (Sierra Leone); zie Catalyst for Peace &amp; Fambul Tok Sierra Leone (z.d.). Uitwerking en casus: Moreel Vakmanschap, moreelvakmanschap.nl. Licentie: CC BY-SA 4.0 – https://creativecommons.org/licenses/by-sa/4.0/deed.nl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MOREEL VAKMANSCHAP · LECTORAAT ETHISCH WERKEN · WERKBLAD</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MW62 Eerst luisteren, dan samen verder (Studentenleven, NL)</dc:title>
  <dc:creator>Moreel Vakmanschap</dc:creator>
  <cp:lastModifiedBy>Moreel Vakmanschap</cp:lastModifiedBy>
  <cp:revision>1</cp:revision>
  <dcterms:created xsi:type="dcterms:W3CDTF">2026-10-05T12:00:00Z</dcterms:created>
  <dcterms:modified xsi:type="dcterms:W3CDTF">2026-10-05T12:00:00Z</dcterms:modified>
</cp:coreProperties>
</file>

<file path=docProps/custom.xml><?xml version="1.0" encoding="utf-8"?>
<Properties xmlns="http://schemas.openxmlformats.org/officeDocument/2006/custom-properties" xmlns:vt="http://schemas.openxmlformats.org/officeDocument/2006/docPropsVTypes"/>
</file>