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MW63 — INTEGRITY COUNCIL · PUBLIC AFFAIRS AND LOBBYING</w:t>
            </w:r>
          </w:p>
          <w:p>
            <w:pPr>
              <w:spacing w:after="40" w:before="0" w:line="250"/>
            </w:pPr>
            <w:r>
              <w:rPr>
                <w:rFonts w:ascii="Arial" w:cs="Arial" w:eastAsia="Arial" w:hAnsi="Arial"/>
                <w:b/>
                <w:bCs/>
                <w:color w:val="FFFFFF"/>
                <w:sz w:val="34"/>
                <w:szCs w:val="34"/>
              </w:rPr>
              <w:t xml:space="preserve">What would our integrity person do?</w:t>
            </w:r>
          </w:p>
          <w:p>
            <w:pPr>
              <w:spacing w:after="0" w:before="0"/>
            </w:pPr>
            <w:r>
              <w:rPr>
                <w:rFonts w:ascii="Arial" w:cs="Arial" w:eastAsia="Arial" w:hAnsi="Arial"/>
                <w:color w:val="DDE6F0"/>
                <w:sz w:val="19"/>
                <w:szCs w:val="19"/>
              </w:rPr>
              <w:t xml:space="preserve">Case: a lobbyist and an invitation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45–60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6–20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3-LOBBYIST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Lieke is a public affairs adviser at a mid-sized consultancy. She represents a manufacturer of packaging material that wants to influence a new regulation. She has an appointment with Rik, a policy officer at a ministry, to explain her client’s positions.</w:t>
            </w:r>
          </w:p>
          <w:p>
            <w:pPr>
              <w:spacing w:after="100" w:before="0" w:line="288"/>
            </w:pPr>
            <w:r>
              <w:rPr>
                <w:rFonts w:ascii="Arial" w:cs="Arial" w:eastAsia="Arial" w:hAnsi="Arial"/>
                <w:sz w:val="21"/>
                <w:szCs w:val="21"/>
              </w:rPr>
              <w:t xml:space="preserve">At the end of the meeting Rik says that he is soon going to a trade fair in Lisbon. He asks whether her client might help with the trip, “because budgets are tight”. A moment later he lets slip that a competitor has supplied sensitive figures. These could help Lieke’s client if she got them from him.</w:t>
            </w:r>
          </w:p>
          <w:p>
            <w:pPr>
              <w:spacing w:after="100" w:before="0" w:line="288"/>
            </w:pPr>
            <w:r>
              <w:rPr>
                <w:rFonts w:ascii="Arial" w:cs="Arial" w:eastAsia="Arial" w:hAnsi="Arial"/>
                <w:sz w:val="21"/>
                <w:szCs w:val="21"/>
              </w:rPr>
              <w:t xml:space="preserve">Lieke knows her client has a good argument and that the relationship with Rik matters. She also knows the consultancy has a code of conduct, but it says nothing about travel costs or confidential data. Nobody knows what Rik just said. She feels she has to say something now and does not yet know what.</w:t>
            </w:r>
          </w:p>
          <w:p>
            <w:pPr>
              <w:spacing w:after="40" w:before="0" w:line="288"/>
            </w:pPr>
            <w:r>
              <w:rPr>
                <w:rFonts w:ascii="Arial" w:cs="Arial" w:eastAsia="Arial" w:hAnsi="Arial"/>
                <w:b/>
                <w:bCs/>
                <w:sz w:val="21"/>
                <w:szCs w:val="21"/>
              </w:rPr>
              <w:t xml:space="preserve">What would a person of incorruptibility in Lieke’s profession do now, and what does Lieke say to Rik?</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Note individually what Lieke sees happening and which line you think is being crossed.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Discuss in groups of 3–4 the four characteristics of an integrity person (truth, justice, self-restraint and incorruptibility). What does each mean in your profession?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As a group, set five criteria for an integrity person in this profession and fill in the criteria sheet.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Look at the case from the perspective of your integrity person: what would they advise Lieke, and what does Lieke say to Rik?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Share with the whole group which criteria weigh most and where you disagree.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CRITERIA SHEET — OUR INTEGRITY PERSON IN THE PROFESSION</w:t>
      </w:r>
    </w:p>
    <w:tbl>
      <w:tblPr>
        <w:tblW w:type="dxa" w:w="9906"/>
        <w:tblLayout w:type="fixed"/>
      </w:tblPr>
      <w:tblGrid>
        <w:gridCol w:w="2200"/>
        <w:gridCol w:w="4400"/>
        <w:gridCol w:w="3306"/>
      </w:tblGrid>
      <w:tr>
        <w:trPr>
          <w:cantSplit/>
          <w:tblHeader/>
        </w:trPr>
        <w:tc>
          <w:tcPr>
            <w:tcW w:type="dxa" w:w="2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Characteristic</w:t>
            </w:r>
          </w:p>
        </w:tc>
        <w:tc>
          <w:tcPr>
            <w:tcW w:type="dxa" w:w="44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does this mean in our profession?</w:t>
            </w:r>
          </w:p>
        </w:tc>
        <w:tc>
          <w:tcPr>
            <w:tcW w:type="dxa" w:w="3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Example from the case</w:t>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Truth</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Justice</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Self-restraint</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Incorruptibility</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Own criterion:</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WHAT WOULD OUR INTEGRITY PERSON DO?</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line did you see in Lieke’s situation that you might not have seen at first?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helps Lieke and you to keep your line when a relationship or assignment is under pressure?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The bashingantahe are an institution from Burundi. They were chosen within their community for their integrity (truth, justice, self-restraint and incorruptibility) and settled disputes. The institution has been politically charged and has in the past been used and criticised in different ways. We therefore do not present it as an ideal. We use only the idea of a person trusted for their integrity, as an aid to thinking.</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bashingantahe (Burundi); see Huyse &amp; Salter (2008).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MW63 What would our integrity person do? (Public affairs and lobbying,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