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MW63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What would our integrity person do?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Applied · Academic · Public affairs and lobbying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name criteria for an integrity person in their own profession. (Seeing)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look at a case from the perspective of such a person and name a line. (Seeing)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describe what helps to keep a line under pressure from a relationship or assignment. (Persevering)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Meso: the problem lies in the missing rules and the culture around contact between lobbyists and policy officers, and involves several parties (consultancy, client, ministry).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the rules of conduct and the culture of interaction in the profession, besides Lieke’s own choice. That is Meso.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Macro: </w:t>
      </w:r>
      <w:r>
        <w:rPr>
          <w:rFonts w:ascii="Arial" w:cs="Arial" w:eastAsia="Arial" w:hAnsi="Arial"/>
          <w:sz w:val="20"/>
          <w:szCs w:val="20"/>
        </w:rPr>
        <w:t xml:space="preserve">the core is not a law or policy; legislation on lobbying is at most background.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the case is fictional. Do not use real companies or civil servants and do not let students name real people.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version, pens, flip chart for the group’s criteria.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help the group to formulate its own criteria and do not give a predetermined answer. Let the group describe its own “integrity person” instead of an existing person.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Connection: </w:t>
      </w:r>
      <w:r>
        <w:rPr>
          <w:rFonts w:ascii="Arial" w:cs="Arial" w:eastAsia="Arial" w:hAnsi="Arial"/>
          <w:sz w:val="20"/>
          <w:szCs w:val="20"/>
        </w:rPr>
        <w:t xml:space="preserve">ask whether students recognise situations from an internship or side job and let them tell only in anonymised form.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The bashingantahe are a Burundian institution. Members were chosen for their integrity and acted in settling disputes in the community. An extensive description is in Huyse and Salter (2008).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Note: the institution has been politically charged. Present it with nuance, as one example of the idea that communities can recognise integrity as a quality of persons, and not as an ideal or recipe. Use it as an aid to thinking and let the group decide which criteria fit their own profession.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group lists general virtues without relating them to the profession. Ask: what does this look like in a conversation with a policy officer?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discussion is about what is legally allowed and not about what fits integrity. Ask: even if it is allowed, is it good?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institution is idealised. Remind them of its political character and use it as an aid to thinking.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“Which line is at risk here, and for whom?”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would an outsider see in this conversation?”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Persevering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makes it hard to say no here?”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Persevering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helps you keep your line when the client or the relationship is under pressure?”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 (45 min): </w:t>
      </w:r>
      <w:r>
        <w:rPr>
          <w:rFonts w:ascii="Arial" w:cs="Arial" w:eastAsia="Arial" w:hAnsi="Arial"/>
          <w:sz w:val="20"/>
          <w:szCs w:val="20"/>
        </w:rPr>
        <w:t xml:space="preserve">work with three criteria instead of five.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use a shared board with the criteria sheet.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work in tables of four and let each table present two criteria.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students draw up their own code of conduct for their team.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applied students work with the criteria sheet and the case; with academic students link the concept of integrity to literature on professional ethics or lobbying rules.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Huyse, L., &amp; Salter, M. (Eds.). (2008).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Traditional justice and reconciliation after violent conflict: Learning from African experiences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International IDEA.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inspired by: the bashingantahe (Burundi); see Huyse &amp; Salter (2008).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MW63 What would our integrity person do? (Public affairs and lobbying,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