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DOCENTENVERSIE · MW63</w:t>
            </w:r>
          </w:p>
          <w:p>
            <w:pPr>
              <w:spacing w:after="40" w:before="0" w:line="250"/>
            </w:pPr>
            <w:r>
              <w:rPr>
                <w:rFonts w:ascii="Arial" w:cs="Arial" w:eastAsia="Arial" w:hAnsi="Arial"/>
                <w:b/>
                <w:bCs/>
                <w:color w:val="FFFFFF"/>
                <w:sz w:val="34"/>
                <w:szCs w:val="34"/>
              </w:rPr>
              <w:t xml:space="preserve">Wat zou onze integriteitspersoon doen?</w:t>
            </w:r>
          </w:p>
          <w:p>
            <w:pPr>
              <w:spacing w:after="0" w:before="0"/>
            </w:pPr>
            <w:r>
              <w:rPr>
                <w:rFonts w:ascii="Arial" w:cs="Arial" w:eastAsia="Arial" w:hAnsi="Arial"/>
                <w:color w:val="DDE6F0"/>
                <w:sz w:val="19"/>
                <w:szCs w:val="19"/>
              </w:rPr>
              <w:t xml:space="preserve">Geschikt voor: HBO · WO · Public affairs en lobby · Nederlands · bij de studentenversie</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COMPLEXITEIT</w:t>
            </w:r>
          </w:p>
          <w:p>
            <w:pPr>
              <w:spacing w:after="0" w:before="0"/>
              <w:jc w:val="center"/>
            </w:pPr>
            <w:r>
              <w:rPr>
                <w:rFonts w:ascii="Arial" w:cs="Arial" w:eastAsia="Arial" w:hAnsi="Arial"/>
                <w:b/>
                <w:bCs/>
                <w:color w:val="FFFFFF"/>
                <w:sz w:val="26"/>
                <w:szCs w:val="26"/>
              </w:rPr>
              <w:t xml:space="preserve">MESO ★★☆</w:t>
            </w:r>
          </w:p>
        </w:tc>
      </w:tr>
    </w:tbl>
    <w:p>
      <w:pPr>
        <w:spacing w:after="4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LEERUITKOMSTEN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criteria benoemen voor een integriteitspersoon in het eigen beroep. (Zien)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een casus bekijken vanuit het perspectief van zo’n persoon en een grens benoemen. (Zien)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student kan beschrijven wat helpt om een grens te bewaren onder druk van een relatie of opdracht. (Volhouden)</w:t>
      </w:r>
    </w:p>
    <w:p>
      <w:pPr>
        <w:keepNext/>
        <w:pBdr>
          <w:bottom w:val="single" w:color="5B2D8E" w:sz="8" w:space="2"/>
        </w:pBdr>
        <w:spacing w:after="90" w:before="200"/>
      </w:pPr>
      <w:r>
        <w:rPr>
          <w:rFonts w:ascii="Arial" w:cs="Arial" w:eastAsia="Arial" w:hAnsi="Arial"/>
          <w:b/>
          <w:bCs/>
          <w:color w:val="5B2D8E"/>
          <w:spacing w:val="30"/>
          <w:sz w:val="20"/>
          <w:szCs w:val="20"/>
        </w:rPr>
        <w:t xml:space="preserve">COMPLEXITEIT: WAAROM MESO?</w:t>
      </w:r>
    </w:p>
    <w:p>
      <w:pPr>
        <w:spacing w:after="60" w:before="0" w:line="264"/>
      </w:pPr>
      <w:r>
        <w:rPr>
          <w:rFonts w:ascii="Arial" w:cs="Arial" w:eastAsia="Arial" w:hAnsi="Arial"/>
          <w:b/>
          <w:bCs/>
          <w:sz w:val="20"/>
          <w:szCs w:val="20"/>
        </w:rPr>
        <w:t xml:space="preserve">Meso: het probleem zit in de ontbrekende regels en de cultuur rond contact tussen lobbyisten en beleidsmedewerkers, en betreft meerdere partijen (bureau, klant, ministerie).</w:t>
      </w:r>
    </w:p>
    <w:p>
      <w:pPr>
        <w:spacing w:after="70" w:before="0"/>
      </w:pPr>
      <w:r>
        <w:rPr>
          <w:rFonts w:ascii="Arial" w:cs="Arial" w:eastAsia="Arial" w:hAnsi="Arial"/>
          <w:i/>
          <w:iCs/>
          <w:color w:val="5F5E5A"/>
          <w:sz w:val="15"/>
          <w:szCs w:val="15"/>
        </w:rPr>
        <w:t xml:space="preserve">Indeling volgens de driedeling micro – meso – macro (werkdefinitie Lectoraat Ethisch Werken, Fontys; geïnspireerd op het werk van Meijer, 2023).</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Toets: </w:t>
      </w:r>
      <w:r>
        <w:rPr>
          <w:rFonts w:ascii="Arial" w:cs="Arial" w:eastAsia="Arial" w:hAnsi="Arial"/>
          <w:sz w:val="20"/>
          <w:szCs w:val="20"/>
        </w:rPr>
        <w:t xml:space="preserve">“Wie of wat zou er moeten veranderen om dit dilemma te laten verdwijnen?” Antwoord: de gedragsregels en de omgangscultuur in het vak, naast Liekes eigen keuze. Dat is Meso.</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Niet Macro: </w:t>
      </w:r>
      <w:r>
        <w:rPr>
          <w:rFonts w:ascii="Arial" w:cs="Arial" w:eastAsia="Arial" w:hAnsi="Arial"/>
          <w:sz w:val="20"/>
          <w:szCs w:val="20"/>
        </w:rPr>
        <w:t xml:space="preserve">de kern is niet een wet of beleid; wetgeving over lobby is hooguit achtergrond.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Let op: </w:t>
      </w:r>
      <w:r>
        <w:rPr>
          <w:rFonts w:ascii="Arial" w:cs="Arial" w:eastAsia="Arial" w:hAnsi="Arial"/>
          <w:sz w:val="20"/>
          <w:szCs w:val="20"/>
        </w:rPr>
        <w:t xml:space="preserve">de casus is fictief. Gebruik geen echte bedrijven of ambtenaren en laat studenten geen echte namen noemen.</w:t>
      </w:r>
    </w:p>
    <w:p>
      <w:pPr>
        <w:keepNext/>
        <w:pBdr>
          <w:bottom w:val="single" w:color="5B2D8E" w:sz="8" w:space="2"/>
        </w:pBdr>
        <w:spacing w:after="90" w:before="200"/>
      </w:pPr>
      <w:r>
        <w:rPr>
          <w:rFonts w:ascii="Arial" w:cs="Arial" w:eastAsia="Arial" w:hAnsi="Arial"/>
          <w:b/>
          <w:bCs/>
          <w:color w:val="5B2D8E"/>
          <w:spacing w:val="30"/>
          <w:sz w:val="20"/>
          <w:szCs w:val="20"/>
        </w:rPr>
        <w:t xml:space="preserve">VOORBEREIDING EN VERLOOP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Materiaal: </w:t>
      </w:r>
      <w:r>
        <w:rPr>
          <w:rFonts w:ascii="Arial" w:cs="Arial" w:eastAsia="Arial" w:hAnsi="Arial"/>
          <w:sz w:val="20"/>
          <w:szCs w:val="20"/>
        </w:rPr>
        <w:t xml:space="preserve">studentenversie, pennen, flip-over voor de criteria van de groep.</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Rol van de begeleider: </w:t>
      </w:r>
      <w:r>
        <w:rPr>
          <w:rFonts w:ascii="Arial" w:cs="Arial" w:eastAsia="Arial" w:hAnsi="Arial"/>
          <w:sz w:val="20"/>
          <w:szCs w:val="20"/>
        </w:rPr>
        <w:t xml:space="preserve">help de groep eigen criteria te formuleren en geef geen vooraf bepaald antwoord. Laat de groep een eigen “integriteitspersoon” beschrijven in plaats van een bestaande persoon.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Aansluiting: </w:t>
      </w:r>
      <w:r>
        <w:rPr>
          <w:rFonts w:ascii="Arial" w:cs="Arial" w:eastAsia="Arial" w:hAnsi="Arial"/>
          <w:sz w:val="20"/>
          <w:szCs w:val="20"/>
        </w:rPr>
        <w:t xml:space="preserve">vraag of studenten situaties uit stage of bijbaan herkennen en laat ze alleen geanonimiseerd vertellen.</w:t>
      </w:r>
    </w:p>
    <w:p>
      <w:pPr>
        <w:keepNext/>
        <w:pBdr>
          <w:bottom w:val="single" w:color="5B2D8E" w:sz="8" w:space="2"/>
        </w:pBdr>
        <w:spacing w:after="90" w:before="200"/>
      </w:pPr>
      <w:r>
        <w:rPr>
          <w:rFonts w:ascii="Arial" w:cs="Arial" w:eastAsia="Arial" w:hAnsi="Arial"/>
          <w:b/>
          <w:bCs/>
          <w:color w:val="5B2D8E"/>
          <w:spacing w:val="30"/>
          <w:sz w:val="20"/>
          <w:szCs w:val="20"/>
        </w:rPr>
        <w:t xml:space="preserve">HERKOMST EN ACHTERGROND</w:t>
      </w:r>
    </w:p>
    <w:p>
      <w:pPr>
        <w:spacing w:after="60" w:before="0" w:line="264"/>
      </w:pPr>
      <w:r>
        <w:rPr>
          <w:rFonts w:ascii="Arial" w:cs="Arial" w:eastAsia="Arial" w:hAnsi="Arial"/>
          <w:sz w:val="20"/>
          <w:szCs w:val="20"/>
        </w:rPr>
        <w:t xml:space="preserve">De bashingantahe zijn een Burundees instituut. Leden werden gekozen vanwege hun integriteit en traden op bij het beslechten van geschillen in de gemeenschap. Een uitgebreide beschrijving staat in Huyse en Salter (2008).</w:t>
      </w:r>
    </w:p>
    <w:p>
      <w:pPr>
        <w:spacing w:after="60" w:before="0" w:line="264"/>
      </w:pPr>
      <w:r>
        <w:rPr>
          <w:rFonts w:ascii="Arial" w:cs="Arial" w:eastAsia="Arial" w:hAnsi="Arial"/>
          <w:sz w:val="20"/>
          <w:szCs w:val="20"/>
        </w:rPr>
        <w:t xml:space="preserve">Let op: het instituut is politiek beladen geweest. Presenteer het daarom genuanceerd, als één voorbeeld van het idee dat gemeenschappen integriteit als kwaliteit van personen kunnen erkennen, en niet als ideaal of recept. Gebruik het als denkhulp en laat de groep zelf bepalen welke criteria in het eigen beroep passen.</w:t>
      </w:r>
    </w:p>
    <w:p>
      <w:pPr>
        <w:keepNext/>
        <w:pBdr>
          <w:bottom w:val="single" w:color="5B2D8E" w:sz="8" w:space="2"/>
        </w:pBdr>
        <w:spacing w:after="90" w:before="200"/>
      </w:pPr>
      <w:r>
        <w:rPr>
          <w:rFonts w:ascii="Arial" w:cs="Arial" w:eastAsia="Arial" w:hAnsi="Arial"/>
          <w:b/>
          <w:bCs/>
          <w:color w:val="5B2D8E"/>
          <w:spacing w:val="30"/>
          <w:sz w:val="20"/>
          <w:szCs w:val="20"/>
        </w:rPr>
        <w:t xml:space="preserve">VALKUILEN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groep somt algemene deugden op zonder ze op het beroep te betrekken. Vraag: hoe ziet dit eruit in een gesprek met een beleidsmedewerker?</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De bespreking gaat over wat wettelijk mag en niet over wat past bij integriteit. Vraag: ook als het mag, is het dan goed?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sz w:val="20"/>
          <w:szCs w:val="20"/>
        </w:rPr>
        <w:t xml:space="preserve">Het instituut wordt geïdealiseerd. Herinner aan het politieke karakter en gebruik het als denkhulp.</w:t>
      </w:r>
    </w:p>
    <w:p>
      <w:pPr>
        <w:keepNext/>
        <w:pBdr>
          <w:bottom w:val="single" w:color="5B2D8E" w:sz="8" w:space="2"/>
        </w:pBdr>
        <w:spacing w:after="90" w:before="200"/>
      </w:pPr>
      <w:r>
        <w:rPr>
          <w:rFonts w:ascii="Arial" w:cs="Arial" w:eastAsia="Arial" w:hAnsi="Arial"/>
          <w:b/>
          <w:bCs/>
          <w:color w:val="5B2D8E"/>
          <w:spacing w:val="30"/>
          <w:sz w:val="20"/>
          <w:szCs w:val="20"/>
        </w:rPr>
        <w:t xml:space="preserve">VRAGEN DIE DE BEGELEIDER KAN STELLEN</w:t>
      </w:r>
    </w:p>
    <w:tbl>
      <w:tblPr>
        <w:tblW w:type="dxa" w:w="9906"/>
        <w:tblLayout w:type="fixed"/>
      </w:tblPr>
      <w:tblGrid>
        <w:gridCol w:w="1700"/>
        <w:gridCol w:w="8206"/>
      </w:tblGrid>
      <w:tr>
        <w:trPr>
          <w:cantSplit/>
          <w:tblHeader/>
        </w:trPr>
        <w:tc>
          <w:tcPr>
            <w:tcW w:type="dxa" w:w="17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Fase</w:t>
            </w:r>
          </w:p>
        </w:tc>
        <w:tc>
          <w:tcPr>
            <w:tcW w:type="dxa" w:w="82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Vraag</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“Welke grens loopt hier gevaar, en voor wie?”</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Zien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zou een buitenstaander in dit gesprek zien?”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maakt het moeilijk om hier nee te zeggen?”</w:t>
            </w:r>
          </w:p>
        </w:tc>
      </w:tr>
      <w:tr>
        <w:trPr>
          <w:cantSplit/>
        </w:trPr>
        <w:tc>
          <w:tcPr>
            <w:tcW w:type="dxa" w:w="17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Volhouden</w:t>
            </w:r>
          </w:p>
        </w:tc>
        <w:tc>
          <w:tcPr>
            <w:tcW w:type="dxa" w:w="82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helpt je om je grens te houden als de klant of de relatie onder druk staat?”</w:t>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VARIATIES EN DIFFERENTIATIE</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Korter (45 min): </w:t>
      </w:r>
      <w:r>
        <w:rPr>
          <w:rFonts w:ascii="Arial" w:cs="Arial" w:eastAsia="Arial" w:hAnsi="Arial"/>
          <w:sz w:val="20"/>
          <w:szCs w:val="20"/>
        </w:rPr>
        <w:t xml:space="preserve">werk met drie criteria in plaats van vijf.</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Online: </w:t>
      </w:r>
      <w:r>
        <w:rPr>
          <w:rFonts w:ascii="Arial" w:cs="Arial" w:eastAsia="Arial" w:hAnsi="Arial"/>
          <w:sz w:val="20"/>
          <w:szCs w:val="20"/>
        </w:rPr>
        <w:t xml:space="preserve">gebruik een gedeeld bord met het criteriablad.</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Grote groep: </w:t>
      </w:r>
      <w:r>
        <w:rPr>
          <w:rFonts w:ascii="Arial" w:cs="Arial" w:eastAsia="Arial" w:hAnsi="Arial"/>
          <w:sz w:val="20"/>
          <w:szCs w:val="20"/>
        </w:rPr>
        <w:t xml:space="preserve">werk in tafels van vier en laat elke tafel twee criteria presenteren.</w:t>
      </w:r>
    </w:p>
    <w:p>
      <w:pPr>
        <w:spacing w:after="50" w:before="0" w:line="264"/>
        <w:ind w:left="360" w:hanging="260"/>
      </w:pPr>
      <w:r>
        <w:rPr>
          <w:rFonts w:ascii="Arial" w:cs="Arial" w:eastAsia="Arial" w:hAnsi="Arial"/>
          <w:color w:val="5B2D8E"/>
          <w:sz w:val="20"/>
          <w:szCs w:val="20"/>
        </w:rPr>
        <w:t xml:space="preserve">•</w:t>
      </w:r>
      <w:r>
        <w:tab/>
      </w:r>
      <w:r>
        <w:rPr>
          <w:rFonts w:ascii="Arial" w:cs="Arial" w:eastAsia="Arial" w:hAnsi="Arial"/>
          <w:b/>
          <w:bCs/>
          <w:sz w:val="20"/>
          <w:szCs w:val="20"/>
        </w:rPr>
        <w:t xml:space="preserve">Vervolg: </w:t>
      </w:r>
      <w:r>
        <w:rPr>
          <w:rFonts w:ascii="Arial" w:cs="Arial" w:eastAsia="Arial" w:hAnsi="Arial"/>
          <w:sz w:val="20"/>
          <w:szCs w:val="20"/>
        </w:rPr>
        <w:t xml:space="preserve">laat studenten een eigen gedragsafspraak voor hun team opstellen.</w:t>
      </w:r>
    </w:p>
    <w:p>
      <w:pPr>
        <w:spacing w:after="40" w:before="0"/>
      </w:pPr>
      <w:r>
        <w:rPr>
          <w:rFonts w:ascii="Arial" w:cs="Arial" w:eastAsia="Arial" w:hAnsi="Arial"/>
          <w:sz w:val="10"/>
          <w:szCs w:val="10"/>
        </w:rPr>
        <w:t xml:space="preserve"/>
      </w:r>
    </w:p>
    <w:tbl>
      <w:tblPr>
        <w:tblW w:type="dxa" w:w="9906"/>
        <w:tblLayout w:type="fixed"/>
      </w:tblPr>
      <w:tblGrid>
        <w:gridCol w:w="1500"/>
        <w:gridCol w:w="2800"/>
        <w:gridCol w:w="2900"/>
        <w:gridCol w:w="27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MBO</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HBO</w:t>
            </w:r>
          </w:p>
        </w:tc>
        <w:tc>
          <w:tcPr>
            <w:tcW w:type="dxa" w:w="27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WO</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Taal</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B1, korte zinnen</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 max. ca. 25 woorden per zin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B2/C1, vakbegrippen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Casus</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stage- en werksituaties, dichtbij</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beroepscasus met meerdere belanghebbenden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casus met systeem- of beleidsniveau</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Afwegen</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intuïtie + één vraag per stap</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minstens twee ethische perspectieven</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theorieën expliciet benoemen en bekritiseren</w:t>
            </w:r>
          </w:p>
        </w:tc>
      </w:tr>
      <w:tr>
        <w:trPr>
          <w:cantSplit/>
        </w:trPr>
        <w:tc>
          <w:tcPr>
            <w:tcW w:type="dxa" w:w="1500"/>
            <w:tcBorders>
              <w:top w:val="single" w:color="BFC5CC" w:sz="4"/>
              <w:left w:val="single" w:color="BFC5CC" w:sz="4"/>
              <w:bottom w:val="single" w:color="BFC5CC" w:sz="4"/>
              <w:right w:val="single" w:color="BFC5CC" w:sz="4"/>
            </w:tcBorders>
            <w:shd w:fill="E7EEEC" w:color="auto" w:val="clear"/>
            <w:tcMar>
              <w:top w:type="dxa" w:w="70"/>
              <w:left w:type="dxa" w:w="110"/>
              <w:bottom w:type="dxa" w:w="70"/>
              <w:right w:type="dxa" w:w="110"/>
            </w:tcMar>
          </w:tcPr>
          <w:p>
            <w:pPr>
              <w:spacing w:after="0" w:before="0" w:line="252"/>
            </w:pPr>
            <w:r>
              <w:rPr>
                <w:rFonts w:ascii="Arial" w:cs="Arial" w:eastAsia="Arial" w:hAnsi="Arial"/>
                <w:b/>
                <w:bCs/>
                <w:sz w:val="18"/>
                <w:szCs w:val="18"/>
              </w:rPr>
              <w:t xml:space="preserve">Reflectie</w:t>
            </w:r>
          </w:p>
        </w:tc>
        <w:tc>
          <w:tcPr>
            <w:tcW w:type="dxa" w:w="28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wat deed ik, wat doe ik volgende keer</w:t>
            </w:r>
          </w:p>
        </w:tc>
        <w:tc>
          <w:tcPr>
            <w:tcW w:type="dxa" w:w="2900"/>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onderbouwde professionele keuze</w:t>
            </w:r>
          </w:p>
        </w:tc>
        <w:tc>
          <w:tcPr>
            <w:tcW w:type="dxa" w:w="2706"/>
            <w:tcBorders>
              <w:top w:val="single" w:color="BFC5CC" w:sz="4"/>
              <w:left w:val="single" w:color="BFC5CC" w:sz="4"/>
              <w:bottom w:val="single" w:color="BFC5CC" w:sz="4"/>
              <w:right w:val="single" w:color="BFC5CC" w:sz="4"/>
            </w:tcBorders>
            <w:tcMar>
              <w:top w:type="dxa" w:w="70"/>
              <w:left w:type="dxa" w:w="110"/>
              <w:bottom w:type="dxa" w:w="70"/>
              <w:right w:type="dxa" w:w="110"/>
            </w:tcMar>
          </w:tcPr>
          <w:p>
            <w:pPr>
              <w:spacing w:after="0" w:before="0" w:line="252"/>
            </w:pPr>
            <w:r>
              <w:rPr>
                <w:rFonts w:ascii="Arial" w:cs="Arial" w:eastAsia="Arial" w:hAnsi="Arial"/>
                <w:sz w:val="18"/>
                <w:szCs w:val="18"/>
              </w:rPr>
              <w:t xml:space="preserve">verantwoording met literatuur</w:t>
            </w:r>
          </w:p>
        </w:tc>
      </w:tr>
    </w:tbl>
    <w:p>
      <w:pPr>
        <w:spacing w:after="40" w:before="0"/>
      </w:pPr>
      <w:r>
        <w:rPr>
          <w:rFonts w:ascii="Arial" w:cs="Arial" w:eastAsia="Arial" w:hAnsi="Arial"/>
          <w:sz w:val="10"/>
          <w:szCs w:val="10"/>
        </w:rPr>
        <w:t xml:space="preserve"/>
      </w:r>
    </w:p>
    <w:p>
      <w:pPr>
        <w:spacing w:after="80" w:before="0" w:line="264"/>
      </w:pPr>
      <w:r>
        <w:rPr>
          <w:rFonts w:ascii="Arial" w:cs="Arial" w:eastAsia="Arial" w:hAnsi="Arial"/>
          <w:sz w:val="19"/>
          <w:szCs w:val="19"/>
        </w:rPr>
        <w:t xml:space="preserve">Voor deze werkvorm: bij HBO werk je met het criteriablad en de casus; bij WO laat je het begrip integriteit koppelen aan literatuur over beroepsethiek of lobbyregels.</w:t>
      </w:r>
    </w:p>
    <w:p>
      <w:pPr>
        <w:keepNext/>
        <w:pBdr>
          <w:bottom w:val="single" w:color="5B2D8E" w:sz="8" w:space="2"/>
        </w:pBdr>
        <w:spacing w:after="90" w:before="200"/>
      </w:pPr>
      <w:r>
        <w:rPr>
          <w:rFonts w:ascii="Arial" w:cs="Arial" w:eastAsia="Arial" w:hAnsi="Arial"/>
          <w:b/>
          <w:bCs/>
          <w:color w:val="5B2D8E"/>
          <w:spacing w:val="30"/>
          <w:sz w:val="20"/>
          <w:szCs w:val="20"/>
        </w:rPr>
        <w:t xml:space="preserve">BRONNEN (APA 7)</w:t>
      </w:r>
    </w:p>
    <w:p>
      <w:pPr>
        <w:spacing w:after="50" w:before="0" w:line="252"/>
        <w:ind w:left="360" w:hanging="360"/>
      </w:pPr>
      <w:r>
        <w:rPr>
          <w:rFonts w:ascii="Arial" w:cs="Arial" w:eastAsia="Arial" w:hAnsi="Arial"/>
          <w:color w:val="5F5E5A"/>
          <w:sz w:val="18"/>
          <w:szCs w:val="18"/>
        </w:rPr>
        <w:t xml:space="preserve">Creative Commons. (z.d.). </w:t>
      </w:r>
      <w:r>
        <w:rPr>
          <w:rFonts w:ascii="Arial" w:cs="Arial" w:eastAsia="Arial" w:hAnsi="Arial"/>
          <w:i/>
          <w:iCs/>
          <w:color w:val="5F5E5A"/>
          <w:sz w:val="18"/>
          <w:szCs w:val="18"/>
        </w:rPr>
        <w:t xml:space="preserve">About CC licenses</w:t>
      </w:r>
      <w:r>
        <w:rPr>
          <w:rFonts w:ascii="Arial" w:cs="Arial" w:eastAsia="Arial" w:hAnsi="Arial"/>
          <w:color w:val="5F5E5A"/>
          <w:sz w:val="18"/>
          <w:szCs w:val="18"/>
        </w:rPr>
        <w:t xml:space="preserve">. https://creativecommons.org/share-your-work/cclicenses/</w:t>
      </w:r>
    </w:p>
    <w:p>
      <w:pPr>
        <w:spacing w:after="50" w:before="0" w:line="252"/>
        <w:ind w:left="360" w:hanging="360"/>
      </w:pPr>
      <w:r>
        <w:rPr>
          <w:rFonts w:ascii="Arial" w:cs="Arial" w:eastAsia="Arial" w:hAnsi="Arial"/>
          <w:color w:val="5F5E5A"/>
          <w:sz w:val="18"/>
          <w:szCs w:val="18"/>
        </w:rPr>
        <w:t xml:space="preserve">Huyse, L., &amp; Salter, M. (Red.). (2008). </w:t>
      </w:r>
      <w:r>
        <w:rPr>
          <w:rFonts w:ascii="Arial" w:cs="Arial" w:eastAsia="Arial" w:hAnsi="Arial"/>
          <w:i/>
          <w:iCs/>
          <w:color w:val="5F5E5A"/>
          <w:sz w:val="18"/>
          <w:szCs w:val="18"/>
        </w:rPr>
        <w:t xml:space="preserve">Traditional justice and reconciliation after violent conflict: Learning from African experiences</w:t>
      </w:r>
      <w:r>
        <w:rPr>
          <w:rFonts w:ascii="Arial" w:cs="Arial" w:eastAsia="Arial" w:hAnsi="Arial"/>
          <w:color w:val="5F5E5A"/>
          <w:sz w:val="18"/>
          <w:szCs w:val="18"/>
        </w:rPr>
        <w:t xml:space="preserve">. International IDEA.</w:t>
      </w:r>
    </w:p>
    <w:p>
      <w:pPr>
        <w:spacing w:after="50" w:before="0" w:line="252"/>
        <w:ind w:left="360" w:hanging="360"/>
      </w:pPr>
      <w:r>
        <w:rPr>
          <w:rFonts w:ascii="Arial" w:cs="Arial" w:eastAsia="Arial" w:hAnsi="Arial"/>
          <w:color w:val="5F5E5A"/>
          <w:sz w:val="18"/>
          <w:szCs w:val="18"/>
        </w:rPr>
        <w:t xml:space="preserve">Meijer, K. M. T. (2023). </w:t>
      </w:r>
      <w:r>
        <w:rPr>
          <w:rFonts w:ascii="Arial" w:cs="Arial" w:eastAsia="Arial" w:hAnsi="Arial"/>
          <w:i/>
          <w:iCs/>
          <w:color w:val="5F5E5A"/>
          <w:sz w:val="18"/>
          <w:szCs w:val="18"/>
        </w:rPr>
        <w:t xml:space="preserve">Impossible and inevitable: Reconstructing the critique of business ethics</w:t>
      </w:r>
      <w:r>
        <w:rPr>
          <w:rFonts w:ascii="Arial" w:cs="Arial" w:eastAsia="Arial" w:hAnsi="Arial"/>
          <w:color w:val="5F5E5A"/>
          <w:sz w:val="18"/>
          <w:szCs w:val="18"/>
        </w:rPr>
        <w:t xml:space="preserve"> [Proefschrift, Tilburg University]. Ridderprint. https://research.tilburguniversity.edu/en/publications/impossible-and-inevitable-reconstructing-the-critique-of-business/</w:t>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Werkvorm geïnspireerd op: de bashingantahe (Burundi); zie Huyse &amp; Salter (2008).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MW63 Wat zou onze integriteitspersoon doen? (Public affairs en lobby, NL)</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