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E8B04B" w:sz="24"/>
              <w:right w:val="none" w:color="FFFFFF" w:sz="0"/>
            </w:tcBorders>
            <w:shd w:fill="9D4E3B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ASSIGNMENT MW07 — UBUNTU/INDABA DIALOGUE · HRM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Nurses from Ghana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Case: Waterpoort Hospital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E8B04B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MACRO ★★★</w:t>
            </w:r>
          </w:p>
        </w:tc>
      </w:tr>
    </w:tbl>
    <w:p>
      <w:pPr>
        <w:spacing w:after="120" w:before="100"/>
      </w:pPr>
      <w:r>
        <w:rPr>
          <w:rFonts w:ascii="Arial" w:cs="Arial" w:eastAsia="Arial" w:hAnsi="Arial"/>
          <w:color w:val="5F5E5A"/>
          <w:sz w:val="17"/>
          <w:szCs w:val="17"/>
        </w:rPr>
        <w:t xml:space="preserve">Phase in the model: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D4537E" w:color="auto" w:val="clear"/>
        </w:rPr>
        <w:t xml:space="preserve"> WEIGHING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color w:val="5F5E5A"/>
          <w:sz w:val="17"/>
          <w:szCs w:val="17"/>
        </w:rPr>
        <w:t xml:space="preserve">     Time: 75 min     Group: 8–30 students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E8B04B" w:sz="6"/>
              <w:left w:val="single" w:color="E8B04B" w:sz="6"/>
              <w:bottom w:val="single" w:color="E8B04B" w:sz="6"/>
              <w:right w:val="single" w:color="E8B04B" w:sz="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6238875" cy="3505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38875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THE SITUATION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single" w:color="993556" w:sz="36"/>
              <w:bottom w:val="none" w:color="FFFFFF" w:sz="0"/>
              <w:right w:val="none" w:color="FFFFFF" w:sz="0"/>
            </w:tcBorders>
            <w:shd w:fill="F6EAE6" w:color="auto" w:val="clear"/>
            <w:tcMar>
              <w:top w:type="dxa" w:w="140"/>
              <w:left w:type="dxa" w:w="240"/>
              <w:bottom w:type="dxa" w:w="100"/>
              <w:right w:type="dxa" w:w="200"/>
            </w:tcMar>
          </w:tcPr>
          <w:p>
            <w:pPr>
              <w:spacing w:after="100" w:line="28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Waterpoort Hospital has forty vacancies for nurses. HR director Els receives an offer from an agency: twenty-five experienced nurses from Ghana, available immediately. They would make a difference straight away. The teams are exhausted and waiting lists are growing.</w:t>
            </w:r>
          </w:p>
          <w:p>
            <w:pPr>
              <w:spacing w:after="100" w:line="28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But Els also hears something else. Kofi, a Ghanaian colleague, says: “My sister left for Europe last year. Her ward in Kumasi is now closed.” International agreements advise against active recruitment in countries with a severe shortage of healthcare staff. It is not prohibited, but it is a grey area.</w:t>
            </w:r>
          </w:p>
          <w:p>
            <w:pPr>
              <w:spacing w:after="40" w:line="28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Els cannot decide this alone, nor solve it alone. She calls a circle together: “Who belongs to our ‘we’? And what does our choice mean for those people?”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Fictional case. Any resemblance to real persons or organisations is coincidental.</w:t>
      </w:r>
    </w:p>
    <w:p>
      <w:pPr>
        <w:spacing w:after="0" w:before="120"/>
      </w:pPr>
      <w:r>
        <w:rPr>
          <w:rFonts w:ascii="Arial" w:cs="Arial" w:eastAsia="Arial" w:hAnsi="Arial"/>
          <w:i/>
          <w:iCs/>
          <w:color w:val="5F5E5A"/>
          <w:sz w:val="16"/>
          <w:szCs w:val="16"/>
        </w:rPr>
        <w:t xml:space="preserve">Ubuntu comes from traditions in southern Africa, and indaba means a gathering for deliberation. We only use the dialogue format and do not want to romanticise or simplify Ubuntu. See Metz (2011) for a philosophical elaboration.</w:t>
      </w:r>
    </w:p>
    <w:p>
      <w:pPr>
        <w:pageBreakBefore/>
        <w:spacing w:after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HOW TO WORK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Read the case. Form circles of three or four students.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(5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Round 1: who belongs to our “we”? Name all the people and communities involved.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(15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Round 2: which choice strengthens the community and everyone’s human dignity? Note down your red lines.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(15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Round 3: what bridges are there? Look for options that ask nothing of others who cannot bear it.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(15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Each circle shares one red line and one bridge in plenary. Fill in the reflection.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(25 min)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THE THREE ROUNDS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906"/>
      </w:tblGrid>
      <w:tr>
        <w:trPr>
          <w:tblHeader/>
        </w:trP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9D4E3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Round</w:t>
            </w:r>
          </w:p>
        </w:tc>
        <w:tc>
          <w:tcPr>
            <w:tcW w:type="dxa" w:w="3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9D4E3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My notes</w:t>
            </w:r>
          </w:p>
        </w:tc>
        <w:tc>
          <w:tcPr>
            <w:tcW w:type="dxa" w:w="3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9D4E3B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the circle found</w:t>
            </w:r>
          </w:p>
        </w:tc>
      </w:tr>
      <w:tr>
        <w:trPr>
          <w:trHeight w:val="1100" w:hRule="atLeast"/>
        </w:trP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6EAE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9D4E3B"/>
                <w:sz w:val="19"/>
                <w:szCs w:val="19"/>
              </w:rPr>
              <w:t xml:space="preserve">1. Our “we”</w:t>
            </w:r>
          </w:p>
          <w:p>
            <w:pPr>
              <w:spacing w:after="0" w:line="220"/>
            </w:pPr>
            <w:r>
              <w:rPr>
                <w:rFonts w:ascii="Arial" w:cs="Arial" w:eastAsia="Arial" w:hAnsi="Arial"/>
                <w:i/>
                <w:iCs/>
                <w:color w:val="5F5E5A"/>
                <w:sz w:val="15"/>
                <w:szCs w:val="15"/>
              </w:rPr>
              <w:t xml:space="preserve">Who belongs to it?</w:t>
            </w:r>
          </w:p>
        </w:tc>
        <w:tc>
          <w:tcPr>
            <w:tcW w:type="dxa" w:w="3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1100" w:hRule="atLeast"/>
        </w:trP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6EAE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9D4E3B"/>
                <w:sz w:val="19"/>
                <w:szCs w:val="19"/>
              </w:rPr>
              <w:t xml:space="preserve">2. Red lines</w:t>
            </w:r>
          </w:p>
          <w:p>
            <w:pPr>
              <w:spacing w:after="0" w:line="220"/>
            </w:pPr>
            <w:r>
              <w:rPr>
                <w:rFonts w:ascii="Arial" w:cs="Arial" w:eastAsia="Arial" w:hAnsi="Arial"/>
                <w:i/>
                <w:iCs/>
                <w:color w:val="5F5E5A"/>
                <w:sz w:val="15"/>
                <w:szCs w:val="15"/>
              </w:rPr>
              <w:t xml:space="preserve">What must not come at the expense of others?</w:t>
            </w:r>
          </w:p>
        </w:tc>
        <w:tc>
          <w:tcPr>
            <w:tcW w:type="dxa" w:w="3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1100" w:hRule="atLeast"/>
        </w:trP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F6EAE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9D4E3B"/>
                <w:sz w:val="19"/>
                <w:szCs w:val="19"/>
              </w:rPr>
              <w:t xml:space="preserve">3. Bridges</w:t>
            </w:r>
          </w:p>
          <w:p>
            <w:pPr>
              <w:spacing w:after="0" w:line="220"/>
            </w:pPr>
            <w:r>
              <w:rPr>
                <w:rFonts w:ascii="Arial" w:cs="Arial" w:eastAsia="Arial" w:hAnsi="Arial"/>
                <w:i/>
                <w:iCs/>
                <w:color w:val="5F5E5A"/>
                <w:sz w:val="15"/>
                <w:szCs w:val="15"/>
              </w:rPr>
              <w:t xml:space="preserve">Which options connect people?</w:t>
            </w:r>
          </w:p>
        </w:tc>
        <w:tc>
          <w:tcPr>
            <w:tcW w:type="dxa" w:w="3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WHAT DOES THIS CHOICE MEAN FOR OUR RELATIONSHIPS?</w:t>
      </w:r>
    </w:p>
    <w:p>
      <w:pPr>
        <w:spacing w:after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Write one sentence per party (hospital, Ghanaian nurses, community in Ghana, patients here):</w:t>
      </w:r>
    </w:p>
    <w:p>
      <w:pPr>
        <w:pBdr>
          <w:bottom w:val="single" w:color="C9CED4" w:sz="4" w:space="1"/>
        </w:pBdr>
        <w:spacing w:after="0" w:before="0" w:line="330" w:lineRule="exact"/>
        <w:ind w:right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30" w:lineRule="exact"/>
        <w:ind w:right="2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30" w:lineRule="exact"/>
        <w:ind w:right="4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REFLECTION</w:t>
      </w:r>
    </w:p>
    <w:p>
      <w:pPr>
        <w:keepNext/>
        <w:spacing w:after="50" w:before="90" w:line="264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D4537E" w:color="auto" w:val="clear"/>
        </w:rPr>
        <w:t xml:space="preserve"> WEIGHING </w:t>
      </w:r>
      <w:r>
        <w:rPr>
          <w:rFonts w:ascii="Arial" w:cs="Arial" w:eastAsia="Arial" w:hAnsi="Arial"/>
          <w:sz w:val="20"/>
          <w:szCs w:val="20"/>
        </w:rPr>
        <w:t xml:space="preserve">  Which choice would you recommend to Els, and which red line guided you? Support your answer with at least two perspectives.</w:t>
      </w:r>
    </w:p>
    <w:p>
      <w:pPr>
        <w:pBdr>
          <w:bottom w:val="single" w:color="C9CED4" w:sz="4" w:space="1"/>
        </w:pBdr>
        <w:spacing w:after="0" w:before="0" w:line="340" w:lineRule="exact"/>
        <w:ind w:right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40" w:lineRule="exact"/>
        <w:ind w:right="2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40" w:lineRule="exact"/>
        <w:ind w:right="4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40" w:lineRule="exact"/>
        <w:ind w:right="6"/>
      </w:pPr>
      <w:r>
        <w:rPr>
          <w:rFonts w:ascii="Arial" w:cs="Arial" w:eastAsia="Arial" w:hAnsi="Arial"/>
          <w:sz w:val="21"/>
          <w:szCs w:val="21"/>
        </w:rPr>
        <w:t xml:space="preserve"/>
      </w:r>
    </w:p>
    <w:sectPr>
      <w:headerReference w:type="default" r:id="rId7"/>
      <w:footerReference w:type="default" r:id="rId8"/>
      <w:headerReference w:type="first" r:id="rId11"/>
      <w:footerReference w:type="first" r:id="rId12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Method based on: Ubuntu/indaba dialogue (Metz, 2011; southern African origins respectfully acknowledged).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WORKSHEET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0720379da458f334875969189ce9be1da538837.jpg"/><Relationship Id="rId10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MW07 Nurses from Ghana (Higher education HRM, EN, student version)</dc:title>
  <dc:creator>Moreel Vakmanschap</dc:creator>
  <cp:lastModifiedBy>Moral Craftsmanship</cp:lastModifiedBy>
  <cp:revision>1</cp:revision>
  <dcterms:created xsi:type="dcterms:W3CDTF">2026-09-30T10:35:02.629Z</dcterms:created>
  <dcterms:modified xsi:type="dcterms:W3CDTF">2026-09-30T10:35:02.639Z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