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EF8354" w:sz="24"/>
              <w:right w:val="none" w:color="FFFFFF" w:sz="0"/>
            </w:tcBorders>
            <w:shd w:fill="4F5D75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MW09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Terug naar de vloer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EF8354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casus ordenen in feiten, wensen, kwaliteit van leven en context. (Zien)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benoemen waar de vier vakken botsen. (Zien, 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onderbouwd advies formuleren. (Wegen)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de HR-adviseur weegt haar eigen oordeel af tegen het medisch advies, de wens van de medewerker en de druk van het team en de organisatie.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de manier waarop het bedrijf terugkeer en werkverdeling regelt. Dat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Micro: </w:t>
      </w:r>
      <w:r>
        <w:rPr>
          <w:rFonts w:ascii="Arial" w:cs="Arial" w:eastAsia="Arial" w:hAnsi="Arial"/>
          <w:sz w:val="19"/>
          <w:szCs w:val="19"/>
        </w:rPr>
        <w:t xml:space="preserve">teamleider, team, bedrijfsarts en organisatieregels spelen een wezenlijke rol (beslisregel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Macro: </w:t>
      </w:r>
      <w:r>
        <w:rPr>
          <w:rFonts w:ascii="Arial" w:cs="Arial" w:eastAsia="Arial" w:hAnsi="Arial"/>
          <w:sz w:val="19"/>
          <w:szCs w:val="19"/>
        </w:rPr>
        <w:t xml:space="preserve">wetgeving over re-integratie speelt op de achtergrond, maar is niet de kern (beslisregel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timer. Individueel of groepjes van 3–6. Neem 50 minuten.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let op de vertaling van de zorgmethode naar HRM. Vraag studenten wat “kwaliteit van leven” hier betekent.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Bron: </w:t>
      </w:r>
      <w:r>
        <w:rPr>
          <w:rFonts w:ascii="Arial" w:cs="Arial" w:eastAsia="Arial" w:hAnsi="Arial"/>
          <w:sz w:val="19"/>
          <w:szCs w:val="19"/>
        </w:rPr>
        <w:t xml:space="preserve">de vier vakken zijn in eigen woorden vertaald naar HRM (Jonsen et al., 2022).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vullen vak 4 (context) ruimer in dan de rest. Laat elk vak even veel ruimte krijgen.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kiezen direct voor het medisch advies zonder Kevin’s wens te wegen.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maken een medisch oordeel. Benadruk dat de adviseur geen arts is.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SUGGESTIES VOOR DE NABESPREKING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4F5D7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Vak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4F5D7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Mogelijke invulling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B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F5D75"/>
                <w:sz w:val="17"/>
                <w:szCs w:val="17"/>
              </w:rPr>
              <w:t xml:space="preserve">1. Feiten en oordeel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Tien weken thuis; medisch advies: 50 procent en geen tilwerk voor twaalf weken.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B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F5D75"/>
                <w:sz w:val="17"/>
                <w:szCs w:val="17"/>
              </w:rPr>
              <w:t xml:space="preserve">2. Wensen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Kevin wil volle werkweek en zijn plek behouden.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B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F5D75"/>
                <w:sz w:val="17"/>
                <w:szCs w:val="17"/>
              </w:rPr>
              <w:t xml:space="preserve">3. Kwaliteit van werk en leven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Herstel op lange termijn; veiligheid en eigenwaarde.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B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F5D75"/>
                <w:sz w:val="17"/>
                <w:szCs w:val="17"/>
              </w:rPr>
              <w:t xml:space="preserve">4. Context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Team overbelast; weinig lichte taken; risico op precedent voor anderen.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(35 min): </w:t>
      </w:r>
      <w:r>
        <w:rPr>
          <w:rFonts w:ascii="Arial" w:cs="Arial" w:eastAsia="Arial" w:hAnsi="Arial"/>
          <w:sz w:val="19"/>
          <w:szCs w:val="19"/>
        </w:rPr>
        <w:t xml:space="preserve">sla stap 5 over.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een gedeeld werkblad met de vier vakken.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laat elke groep één vak uitwerken en presenteer de vier vakken samen.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Meijer, K. (2023). Impossible and inevitable: Reconstructing the critique of business ethics [Proefschrift, Tilburg University]. Ridderprint.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Jonsen, A. R., Siegler, M., &amp; Winslade, W. J. (2022). Clinical ethics: A practical approach to ethical decisions in clinical medicine (9th ed.). McGraw Hill.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werkdefinitie van het lectoraat, gebaseerd op het micro-meso-macrodenken van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 gebaseerd op: vier-kwadrantenmethode (Jonsen, Siegler &amp; Winslade, 2022; vertaald naar HRM).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MW09 Docentenversie – Terug naar de vloer</dc:title>
  <dc:creator>Moreel Vakmanschap</dc:creator>
  <cp:lastModifiedBy>Un-named</cp:lastModifiedBy>
  <cp:revision>1</cp:revision>
  <dcterms:created xsi:type="dcterms:W3CDTF">2026-09-29T10:22:51.730Z</dcterms:created>
  <dcterms:modified xsi:type="dcterms:W3CDTF">2026-09-29T10:22:51.730Z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