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4FC3A1" w:sz="24"/>
              <w:right w:val="none" w:color="FFFFFF" w:sz="0"/>
            </w:tcBorders>
            <w:shd w:fill="2E2A5B"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MW11 — ZES ETHISCHE LENZEN · HRM</w:t>
            </w:r>
          </w:p>
          <w:p>
            <w:pPr>
              <w:spacing w:after="40" w:line="250"/>
            </w:pPr>
            <w:r>
              <w:rPr>
                <w:rFonts w:ascii="Arial" w:cs="Arial" w:eastAsia="Arial" w:hAnsi="Arial"/>
                <w:b/>
                <w:bCs/>
                <w:color w:val="FFFFFF"/>
                <w:sz w:val="34"/>
                <w:szCs w:val="34"/>
              </w:rPr>
              <w:t xml:space="preserve">De cv-scantool</w:t>
            </w:r>
          </w:p>
          <w:p>
            <w:pPr>
              <w:spacing w:after="0"/>
            </w:pPr>
            <w:r>
              <w:rPr>
                <w:rFonts w:ascii="Arial" w:cs="Arial" w:eastAsia="Arial" w:hAnsi="Arial"/>
                <w:color w:val="DDE6F0"/>
                <w:sz w:val="19"/>
                <w:szCs w:val="19"/>
              </w:rPr>
              <w:t xml:space="preserve">Casus: Delta Techniek</w:t>
            </w:r>
          </w:p>
        </w:tc>
        <w:tc>
          <w:tcPr>
            <w:tcW w:type="dxa" w:w="2606"/>
            <w:tcBorders>
              <w:top w:val="none" w:color="FFFFFF" w:sz="0"/>
              <w:left w:val="none" w:color="FFFFFF" w:sz="0"/>
              <w:bottom w:val="single" w:color="4FC3A1"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45 min     Groep: 3–6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4FC3A1" w:sz="6"/>
              <w:left w:val="single" w:color="4FC3A1" w:sz="6"/>
              <w:bottom w:val="single" w:color="4FC3A1" w:sz="6"/>
              <w:right w:val="single" w:color="4FC3A1"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9E8F4"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Delta Techniek zoekt dertig monteurs en tien planners. Elke maand komen er driehonderd cv’s binnen. HR-adviseur Ruben Sarmo krijgt de vraag of een cv-scantool het screenen kan versnellen. In de proefrun bespaart de tool zestig procent van de tijd. Directeur Els van Amelsvoort wil per 1 november beginnen.</w:t>
            </w:r>
          </w:p>
          <w:p>
            <w:pPr>
              <w:spacing w:after="100" w:line="288"/>
            </w:pPr>
            <w:r>
              <w:rPr>
                <w:rFonts w:ascii="Arial" w:cs="Arial" w:eastAsia="Arial" w:hAnsi="Arial"/>
                <w:sz w:val="21"/>
                <w:szCs w:val="21"/>
              </w:rPr>
              <w:t xml:space="preserve">Bij een controle ziet Ruben iets vreemds. Kandidaten met een gat in hun cv krijgen gemiddeld een lagere score. Het gaat vaak om mensen die voor een kind of ouder zorgden, of ziek waren. De leverancier zegt: “Het model leert van jullie eigen geschiedenis.” Recruiter Bram haalt zijn schouders op: “De besten komen vanzelf bovendrijven.”</w:t>
            </w:r>
          </w:p>
          <w:p>
            <w:pPr>
              <w:spacing w:after="40" w:line="288"/>
            </w:pPr>
            <w:r>
              <w:rPr>
                <w:rFonts w:ascii="Arial" w:cs="Arial" w:eastAsia="Arial" w:hAnsi="Arial"/>
                <w:sz w:val="21"/>
                <w:szCs w:val="21"/>
              </w:rPr>
              <w:t xml:space="preserve">Ruben wil de tool niet blind invoeren, maar de deadline staat. Donderdag moet hij advies geven: invoeren zoals gepland (optie A) of uitstellen en het model laten aanpassen (optie B). Hij besluit de zaak eerst vanuit zes kanten te bekijken.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Noteer wat optie A en optie B voor Ruben betekenen.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Verdeel de zes lenzen over de groep. Elk groepslid neemt één of twee lenzen. </w:t>
      </w:r>
      <w:r>
        <w:rPr>
          <w:rFonts w:ascii="Arial" w:cs="Arial" w:eastAsia="Arial" w:hAnsi="Arial"/>
          <w:i/>
          <w:iCs/>
          <w:color w:val="5F5E5A"/>
          <w:sz w:val="18"/>
          <w:szCs w:val="18"/>
        </w:rPr>
        <w:t xml:space="preserve">(2 min)</w:t>
      </w:r>
    </w:p>
    <w:p>
      <w:pPr>
        <w:pStyle w:val="ListParagraph"/>
        <w:numPr>
          <w:ilvl w:val="0"/>
          <w:numId w:val="2"/>
        </w:numPr>
        <w:spacing w:after="50" w:line="264"/>
      </w:pPr>
      <w:r>
        <w:rPr>
          <w:rFonts w:ascii="Arial" w:cs="Arial" w:eastAsia="Arial" w:hAnsi="Arial"/>
          <w:sz w:val="20"/>
          <w:szCs w:val="20"/>
        </w:rPr>
        <w:t xml:space="preserve">Beantwoord voor jouw lens de lensvraag. Kies welke optie deze lens het best verdedigt.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Presenteer om de beurt in één minuut. De groep vult de samenvatting in.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Kies samen één optie en één voorwaarde waaronder je die uitvoert.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3 EN 4 — DE ZES LENZEN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4306"/>
      </w:tblGrid>
      <w:tr>
        <w:trPr>
          <w:tblHeader/>
        </w:trPr>
        <w:tc>
          <w:tcPr>
            <w:tcW w:type="dxa" w:w="4200"/>
            <w:tcBorders>
              <w:top w:val="single" w:color="BFC5CC" w:sz="4"/>
              <w:left w:val="single" w:color="BFC5CC" w:sz="4"/>
              <w:bottom w:val="single" w:color="BFC5CC" w:sz="4"/>
              <w:right w:val="single" w:color="BFC5CC" w:sz="4"/>
            </w:tcBorders>
            <w:shd w:fill="2E2A5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Lens en vraag</w:t>
            </w:r>
          </w:p>
        </w:tc>
        <w:tc>
          <w:tcPr>
            <w:tcW w:type="dxa" w:w="1400"/>
            <w:tcBorders>
              <w:top w:val="single" w:color="BFC5CC" w:sz="4"/>
              <w:left w:val="single" w:color="BFC5CC" w:sz="4"/>
              <w:bottom w:val="single" w:color="BFC5CC" w:sz="4"/>
              <w:right w:val="single" w:color="BFC5CC" w:sz="4"/>
            </w:tcBorders>
            <w:shd w:fill="2E2A5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Steunt optie</w:t>
            </w:r>
          </w:p>
        </w:tc>
        <w:tc>
          <w:tcPr>
            <w:tcW w:type="dxa" w:w="4306"/>
            <w:tcBorders>
              <w:top w:val="single" w:color="BFC5CC" w:sz="4"/>
              <w:left w:val="single" w:color="BFC5CC" w:sz="4"/>
              <w:bottom w:val="single" w:color="BFC5CC" w:sz="4"/>
              <w:right w:val="single" w:color="BFC5CC" w:sz="4"/>
            </w:tcBorders>
            <w:shd w:fill="2E2A5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Waarom?</w:t>
            </w:r>
          </w:p>
        </w:tc>
      </w:tr>
      <w:tr>
        <w:trPr>
          <w:trHeight w:val="700" w:hRule="atLeast"/>
        </w:trPr>
        <w:tc>
          <w:tcPr>
            <w:tcW w:type="dxa" w:w="4200"/>
            <w:tcBorders>
              <w:top w:val="single" w:color="BFC5CC" w:sz="4"/>
              <w:left w:val="single" w:color="BFC5CC" w:sz="4"/>
              <w:bottom w:val="single" w:color="BFC5CC" w:sz="4"/>
              <w:right w:val="single" w:color="BFC5CC" w:sz="4"/>
            </w:tcBorders>
            <w:shd w:fill="E9E8F4" w:color="auto" w:val="clear"/>
            <w:tcMar>
              <w:top w:type="dxa" w:w="80"/>
              <w:left w:type="dxa" w:w="110"/>
              <w:bottom w:type="dxa" w:w="80"/>
              <w:right w:type="dxa" w:w="110"/>
            </w:tcMar>
          </w:tcPr>
          <w:p>
            <w:pPr>
              <w:spacing w:after="20"/>
            </w:pPr>
            <w:r>
              <w:rPr>
                <w:rFonts w:ascii="Arial" w:cs="Arial" w:eastAsia="Arial" w:hAnsi="Arial"/>
                <w:b/>
                <w:bCs/>
                <w:color w:val="2E2A5B"/>
                <w:sz w:val="19"/>
                <w:szCs w:val="19"/>
              </w:rPr>
              <w:t xml:space="preserve">Rechten</w:t>
            </w:r>
          </w:p>
          <w:p>
            <w:pPr>
              <w:spacing w:after="0" w:line="220"/>
            </w:pPr>
            <w:r>
              <w:rPr>
                <w:rFonts w:ascii="Arial" w:cs="Arial" w:eastAsia="Arial" w:hAnsi="Arial"/>
                <w:i/>
                <w:iCs/>
                <w:color w:val="5F5E5A"/>
                <w:sz w:val="15"/>
                <w:szCs w:val="15"/>
              </w:rPr>
              <w:t xml:space="preserve">Worden de rechten en de waardigheid van iedereen gerespecteerd?</w:t>
            </w:r>
          </w:p>
        </w:tc>
        <w:tc>
          <w:tcPr>
            <w:tcW w:type="dxa" w:w="1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A   ☐ B</w:t>
            </w:r>
          </w:p>
        </w:tc>
        <w:tc>
          <w:tcPr>
            <w:tcW w:type="dxa" w:w="4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700" w:hRule="atLeast"/>
        </w:trPr>
        <w:tc>
          <w:tcPr>
            <w:tcW w:type="dxa" w:w="4200"/>
            <w:tcBorders>
              <w:top w:val="single" w:color="BFC5CC" w:sz="4"/>
              <w:left w:val="single" w:color="BFC5CC" w:sz="4"/>
              <w:bottom w:val="single" w:color="BFC5CC" w:sz="4"/>
              <w:right w:val="single" w:color="BFC5CC" w:sz="4"/>
            </w:tcBorders>
            <w:shd w:fill="E9E8F4" w:color="auto" w:val="clear"/>
            <w:tcMar>
              <w:top w:type="dxa" w:w="80"/>
              <w:left w:type="dxa" w:w="110"/>
              <w:bottom w:type="dxa" w:w="80"/>
              <w:right w:type="dxa" w:w="110"/>
            </w:tcMar>
          </w:tcPr>
          <w:p>
            <w:pPr>
              <w:spacing w:after="20"/>
            </w:pPr>
            <w:r>
              <w:rPr>
                <w:rFonts w:ascii="Arial" w:cs="Arial" w:eastAsia="Arial" w:hAnsi="Arial"/>
                <w:b/>
                <w:bCs/>
                <w:color w:val="2E2A5B"/>
                <w:sz w:val="19"/>
                <w:szCs w:val="19"/>
              </w:rPr>
              <w:t xml:space="preserve">Rechtvaardigheid</w:t>
            </w:r>
          </w:p>
          <w:p>
            <w:pPr>
              <w:spacing w:after="0" w:line="220"/>
            </w:pPr>
            <w:r>
              <w:rPr>
                <w:rFonts w:ascii="Arial" w:cs="Arial" w:eastAsia="Arial" w:hAnsi="Arial"/>
                <w:i/>
                <w:iCs/>
                <w:color w:val="5F5E5A"/>
                <w:sz w:val="15"/>
                <w:szCs w:val="15"/>
              </w:rPr>
              <w:t xml:space="preserve">Krijgt iedereen een eerlijke kans en behandeling?</w:t>
            </w:r>
          </w:p>
        </w:tc>
        <w:tc>
          <w:tcPr>
            <w:tcW w:type="dxa" w:w="1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A   ☐ B</w:t>
            </w:r>
          </w:p>
        </w:tc>
        <w:tc>
          <w:tcPr>
            <w:tcW w:type="dxa" w:w="4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700" w:hRule="atLeast"/>
        </w:trPr>
        <w:tc>
          <w:tcPr>
            <w:tcW w:type="dxa" w:w="4200"/>
            <w:tcBorders>
              <w:top w:val="single" w:color="BFC5CC" w:sz="4"/>
              <w:left w:val="single" w:color="BFC5CC" w:sz="4"/>
              <w:bottom w:val="single" w:color="BFC5CC" w:sz="4"/>
              <w:right w:val="single" w:color="BFC5CC" w:sz="4"/>
            </w:tcBorders>
            <w:shd w:fill="E9E8F4" w:color="auto" w:val="clear"/>
            <w:tcMar>
              <w:top w:type="dxa" w:w="80"/>
              <w:left w:type="dxa" w:w="110"/>
              <w:bottom w:type="dxa" w:w="80"/>
              <w:right w:type="dxa" w:w="110"/>
            </w:tcMar>
          </w:tcPr>
          <w:p>
            <w:pPr>
              <w:spacing w:after="20"/>
            </w:pPr>
            <w:r>
              <w:rPr>
                <w:rFonts w:ascii="Arial" w:cs="Arial" w:eastAsia="Arial" w:hAnsi="Arial"/>
                <w:b/>
                <w:bCs/>
                <w:color w:val="2E2A5B"/>
                <w:sz w:val="19"/>
                <w:szCs w:val="19"/>
              </w:rPr>
              <w:t xml:space="preserve">Gevolgen</w:t>
            </w:r>
          </w:p>
          <w:p>
            <w:pPr>
              <w:spacing w:after="0" w:line="220"/>
            </w:pPr>
            <w:r>
              <w:rPr>
                <w:rFonts w:ascii="Arial" w:cs="Arial" w:eastAsia="Arial" w:hAnsi="Arial"/>
                <w:i/>
                <w:iCs/>
                <w:color w:val="5F5E5A"/>
                <w:sz w:val="15"/>
                <w:szCs w:val="15"/>
              </w:rPr>
              <w:t xml:space="preserve">Welke keuze geeft per saldo het meeste goeds en het minste leed?</w:t>
            </w:r>
          </w:p>
        </w:tc>
        <w:tc>
          <w:tcPr>
            <w:tcW w:type="dxa" w:w="1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A   ☐ B</w:t>
            </w:r>
          </w:p>
        </w:tc>
        <w:tc>
          <w:tcPr>
            <w:tcW w:type="dxa" w:w="4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700" w:hRule="atLeast"/>
        </w:trPr>
        <w:tc>
          <w:tcPr>
            <w:tcW w:type="dxa" w:w="4200"/>
            <w:tcBorders>
              <w:top w:val="single" w:color="BFC5CC" w:sz="4"/>
              <w:left w:val="single" w:color="BFC5CC" w:sz="4"/>
              <w:bottom w:val="single" w:color="BFC5CC" w:sz="4"/>
              <w:right w:val="single" w:color="BFC5CC" w:sz="4"/>
            </w:tcBorders>
            <w:shd w:fill="E9E8F4" w:color="auto" w:val="clear"/>
            <w:tcMar>
              <w:top w:type="dxa" w:w="80"/>
              <w:left w:type="dxa" w:w="110"/>
              <w:bottom w:type="dxa" w:w="80"/>
              <w:right w:type="dxa" w:w="110"/>
            </w:tcMar>
          </w:tcPr>
          <w:p>
            <w:pPr>
              <w:spacing w:after="20"/>
            </w:pPr>
            <w:r>
              <w:rPr>
                <w:rFonts w:ascii="Arial" w:cs="Arial" w:eastAsia="Arial" w:hAnsi="Arial"/>
                <w:b/>
                <w:bCs/>
                <w:color w:val="2E2A5B"/>
                <w:sz w:val="19"/>
                <w:szCs w:val="19"/>
              </w:rPr>
              <w:t xml:space="preserve">Gemeenschap</w:t>
            </w:r>
          </w:p>
          <w:p>
            <w:pPr>
              <w:spacing w:after="0" w:line="220"/>
            </w:pPr>
            <w:r>
              <w:rPr>
                <w:rFonts w:ascii="Arial" w:cs="Arial" w:eastAsia="Arial" w:hAnsi="Arial"/>
                <w:i/>
                <w:iCs/>
                <w:color w:val="5F5E5A"/>
                <w:sz w:val="15"/>
                <w:szCs w:val="15"/>
              </w:rPr>
              <w:t xml:space="preserve">Wat dient het gezamenlijke belang van bedrijf en samenleving het best?</w:t>
            </w:r>
          </w:p>
        </w:tc>
        <w:tc>
          <w:tcPr>
            <w:tcW w:type="dxa" w:w="1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A   ☐ B</w:t>
            </w:r>
          </w:p>
        </w:tc>
        <w:tc>
          <w:tcPr>
            <w:tcW w:type="dxa" w:w="4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700" w:hRule="atLeast"/>
        </w:trPr>
        <w:tc>
          <w:tcPr>
            <w:tcW w:type="dxa" w:w="4200"/>
            <w:tcBorders>
              <w:top w:val="single" w:color="BFC5CC" w:sz="4"/>
              <w:left w:val="single" w:color="BFC5CC" w:sz="4"/>
              <w:bottom w:val="single" w:color="BFC5CC" w:sz="4"/>
              <w:right w:val="single" w:color="BFC5CC" w:sz="4"/>
            </w:tcBorders>
            <w:shd w:fill="E9E8F4" w:color="auto" w:val="clear"/>
            <w:tcMar>
              <w:top w:type="dxa" w:w="80"/>
              <w:left w:type="dxa" w:w="110"/>
              <w:bottom w:type="dxa" w:w="80"/>
              <w:right w:type="dxa" w:w="110"/>
            </w:tcMar>
          </w:tcPr>
          <w:p>
            <w:pPr>
              <w:spacing w:after="20"/>
            </w:pPr>
            <w:r>
              <w:rPr>
                <w:rFonts w:ascii="Arial" w:cs="Arial" w:eastAsia="Arial" w:hAnsi="Arial"/>
                <w:b/>
                <w:bCs/>
                <w:color w:val="2E2A5B"/>
                <w:sz w:val="19"/>
                <w:szCs w:val="19"/>
              </w:rPr>
              <w:t xml:space="preserve">Karakter</w:t>
            </w:r>
          </w:p>
          <w:p>
            <w:pPr>
              <w:spacing w:after="0" w:line="220"/>
            </w:pPr>
            <w:r>
              <w:rPr>
                <w:rFonts w:ascii="Arial" w:cs="Arial" w:eastAsia="Arial" w:hAnsi="Arial"/>
                <w:i/>
                <w:iCs/>
                <w:color w:val="5F5E5A"/>
                <w:sz w:val="15"/>
                <w:szCs w:val="15"/>
              </w:rPr>
              <w:t xml:space="preserve">Wat zou een integere, moedige professional hier doen?</w:t>
            </w:r>
          </w:p>
        </w:tc>
        <w:tc>
          <w:tcPr>
            <w:tcW w:type="dxa" w:w="1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A   ☐ B</w:t>
            </w:r>
          </w:p>
        </w:tc>
        <w:tc>
          <w:tcPr>
            <w:tcW w:type="dxa" w:w="4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700" w:hRule="atLeast"/>
        </w:trPr>
        <w:tc>
          <w:tcPr>
            <w:tcW w:type="dxa" w:w="4200"/>
            <w:tcBorders>
              <w:top w:val="single" w:color="BFC5CC" w:sz="4"/>
              <w:left w:val="single" w:color="BFC5CC" w:sz="4"/>
              <w:bottom w:val="single" w:color="BFC5CC" w:sz="4"/>
              <w:right w:val="single" w:color="BFC5CC" w:sz="4"/>
            </w:tcBorders>
            <w:shd w:fill="E9E8F4" w:color="auto" w:val="clear"/>
            <w:tcMar>
              <w:top w:type="dxa" w:w="80"/>
              <w:left w:type="dxa" w:w="110"/>
              <w:bottom w:type="dxa" w:w="80"/>
              <w:right w:type="dxa" w:w="110"/>
            </w:tcMar>
          </w:tcPr>
          <w:p>
            <w:pPr>
              <w:spacing w:after="20"/>
            </w:pPr>
            <w:r>
              <w:rPr>
                <w:rFonts w:ascii="Arial" w:cs="Arial" w:eastAsia="Arial" w:hAnsi="Arial"/>
                <w:b/>
                <w:bCs/>
                <w:color w:val="2E2A5B"/>
                <w:sz w:val="19"/>
                <w:szCs w:val="19"/>
              </w:rPr>
              <w:t xml:space="preserve">Zorg</w:t>
            </w:r>
          </w:p>
          <w:p>
            <w:pPr>
              <w:spacing w:after="0" w:line="220"/>
            </w:pPr>
            <w:r>
              <w:rPr>
                <w:rFonts w:ascii="Arial" w:cs="Arial" w:eastAsia="Arial" w:hAnsi="Arial"/>
                <w:i/>
                <w:iCs/>
                <w:color w:val="5F5E5A"/>
                <w:sz w:val="15"/>
                <w:szCs w:val="15"/>
              </w:rPr>
              <w:t xml:space="preserve">Wie is kwetsbaar, en hoe blijft de relatie met hen goed?</w:t>
            </w:r>
          </w:p>
        </w:tc>
        <w:tc>
          <w:tcPr>
            <w:tcW w:type="dxa" w:w="1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A   ☐ B</w:t>
            </w:r>
          </w:p>
        </w:tc>
        <w:tc>
          <w:tcPr>
            <w:tcW w:type="dxa" w:w="4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5 — ONZE KEUZE</w:t>
      </w:r>
    </w:p>
    <w:p>
      <w:pPr>
        <w:spacing w:after="0"/>
      </w:pPr>
      <w:r>
        <w:rPr>
          <w:rFonts w:ascii="Arial" w:cs="Arial" w:eastAsia="Arial" w:hAnsi="Arial"/>
          <w:b/>
          <w:bCs/>
          <w:sz w:val="20"/>
          <w:szCs w:val="20"/>
        </w:rPr>
        <w:t xml:space="preserve">Wij kiezen voor optie … onder de voorwaarde dat: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lens veranderde jouw kijk het meest? Wat liet die lens zien wat je eerst niet zag?</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zes ethische lenzen (Velasquez et al., 2021, Markkula Center for Applied Ethics).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b2c2b143663ec5c935b00756661f2ec09c7f9b.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MW11 De cv-scantool (HBO HRM, NL)</dc:title>
  <dc:creator>Moreel Vakmanschap</dc:creator>
  <cp:lastModifiedBy>Un-named</cp:lastModifiedBy>
  <cp:revision>1</cp:revision>
  <dcterms:created xsi:type="dcterms:W3CDTF">2026-09-29T10:04:58.271Z</dcterms:created>
  <dcterms:modified xsi:type="dcterms:W3CDTF">2026-09-29T10:04:58.271Z</dcterms:modified>
</cp:coreProperties>
</file>

<file path=docProps/custom.xml><?xml version="1.0" encoding="utf-8"?>
<Properties xmlns="http://schemas.openxmlformats.org/officeDocument/2006/custom-properties" xmlns:vt="http://schemas.openxmlformats.org/officeDocument/2006/docPropsVTypes"/>
</file>