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300"/>
        <w:gridCol w:w="2606"/>
      </w:tblGrid>
      <w:tr>
        <w:tc>
          <w:tcPr>
            <w:tcW w:type="dxa" w:w="7300"/>
            <w:tcBorders>
              <w:top w:val="none" w:color="FFFFFF" w:sz="0"/>
              <w:left w:val="none" w:color="FFFFFF" w:sz="0"/>
              <w:bottom w:val="single" w:color="F2A65A" w:sz="24"/>
              <w:right w:val="none" w:color="FFFFFF" w:sz="0"/>
            </w:tcBorders>
            <w:shd w:fill="0F5257" w:color="auto" w:val="clear"/>
            <w:tcMar>
              <w:top w:type="dxa" w:w="140"/>
              <w:left w:type="dxa" w:w="220"/>
              <w:bottom w:type="dxa" w:w="140"/>
              <w:right w:type="dxa" w:w="12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b/>
                <w:bCs/>
                <w:color w:val="F3C98B"/>
                <w:spacing w:val="30"/>
                <w:sz w:val="16"/>
                <w:szCs w:val="16"/>
              </w:rPr>
              <w:t xml:space="preserve">TEACHER VERSION · MW12</w:t>
            </w:r>
          </w:p>
          <w:p>
            <w:pPr>
              <w:spacing w:after="40" w:line="250"/>
            </w:pPr>
            <w:r>
              <w:rPr>
                <w:rFonts w:ascii="Arial" w:cs="Arial" w:eastAsia="Arial" w:hAnsi="Arial"/>
                <w:b/>
                <w:bCs/>
                <w:color w:val="FFFFFF"/>
                <w:sz w:val="34"/>
                <w:szCs w:val="34"/>
              </w:rPr>
              <w:t xml:space="preserve">Keep quiet or speak up?</w:t>
            </w:r>
          </w:p>
          <w:p>
            <w:pPr>
              <w:spacing w:after="0"/>
            </w:pPr>
            <w:r>
              <w:rPr>
                <w:rFonts w:ascii="Arial" w:cs="Arial" w:eastAsia="Arial" w:hAnsi="Arial"/>
                <w:color w:val="DDE6F0"/>
                <w:sz w:val="19"/>
                <w:szCs w:val="19"/>
              </w:rPr>
              <w:t xml:space="preserve">Higher education (UAS) · HRM · English · accompanies the 2-page student version</w:t>
            </w:r>
          </w:p>
        </w:tc>
        <w:tc>
          <w:tcPr>
            <w:tcW w:type="dxa" w:w="2606"/>
            <w:tcBorders>
              <w:top w:val="none" w:color="FFFFFF" w:sz="0"/>
              <w:left w:val="none" w:color="FFFFFF" w:sz="0"/>
              <w:bottom w:val="single" w:color="F2A65A" w:sz="24"/>
              <w:right w:val="none" w:color="FFFFFF" w:sz="0"/>
            </w:tcBorders>
            <w:shd w:fill="993556" w:color="auto" w:val="clear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after="30"/>
              <w:jc w:val="center"/>
            </w:pPr>
            <w:r>
              <w:rPr>
                <w:rFonts w:ascii="Arial" w:cs="Arial" w:eastAsia="Arial" w:hAnsi="Arial"/>
                <w:b/>
                <w:bCs/>
                <w:color w:val="F5D9E2"/>
                <w:spacing w:val="30"/>
                <w:sz w:val="14"/>
                <w:szCs w:val="14"/>
              </w:rPr>
              <w:t xml:space="preserve">COMPLEXITY</w:t>
            </w:r>
          </w:p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6"/>
                <w:szCs w:val="26"/>
              </w:rPr>
              <w:t xml:space="preserve">MICRO ★☆☆</w:t>
            </w:r>
          </w:p>
        </w:tc>
      </w:tr>
    </w:tbl>
    <w:p>
      <w:pPr>
        <w:keepNext/>
        <w:pBdr>
          <w:bottom w:val="single" w:color="5B2D8E" w:sz="8" w:space="2"/>
        </w:pBdr>
        <w:spacing w:after="90" w:before="200"/>
      </w:pPr>
      <w:r>
        <w:rPr>
          <w:rFonts w:ascii="Arial" w:cs="Arial" w:eastAsia="Arial" w:hAnsi="Arial"/>
          <w:b/>
          <w:bCs/>
          <w:color w:val="5B2D8E"/>
          <w:spacing w:val="30"/>
          <w:sz w:val="20"/>
          <w:szCs w:val="20"/>
        </w:rPr>
        <w:t xml:space="preserve">LEARNING OUTCOMES</w:t>
      </w:r>
    </w:p>
    <w:p>
      <w:pPr>
        <w:pStyle w:val="ListParagraph"/>
        <w:numPr>
          <w:ilvl w:val="0"/>
          <w:numId w:val="2"/>
        </w:numPr>
        <w:spacing w:after="40" w:line="260"/>
      </w:pPr>
      <w:r>
        <w:rPr>
          <w:rFonts w:ascii="Arial" w:cs="Arial" w:eastAsia="Arial" w:hAnsi="Arial"/>
          <w:sz w:val="19"/>
          <w:szCs w:val="19"/>
        </w:rPr>
        <w:t xml:space="preserve">The student can recognise a dilemma as a clash between two good values and name it using one of the four pairs. (Seeing)</w:t>
      </w:r>
    </w:p>
    <w:p>
      <w:pPr>
        <w:pStyle w:val="ListParagraph"/>
        <w:numPr>
          <w:ilvl w:val="0"/>
          <w:numId w:val="2"/>
        </w:numPr>
        <w:spacing w:after="40" w:line="260"/>
      </w:pPr>
      <w:r>
        <w:rPr>
          <w:rFonts w:ascii="Arial" w:cs="Arial" w:eastAsia="Arial" w:hAnsi="Arial"/>
          <w:sz w:val="19"/>
          <w:szCs w:val="19"/>
        </w:rPr>
        <w:t xml:space="preserve">The student can test both options against three decision principles: consequences, rules and care. (Weighing)</w:t>
      </w:r>
    </w:p>
    <w:p>
      <w:pPr>
        <w:pStyle w:val="ListParagraph"/>
        <w:numPr>
          <w:ilvl w:val="0"/>
          <w:numId w:val="2"/>
        </w:numPr>
        <w:spacing w:after="40" w:line="260"/>
      </w:pPr>
      <w:r>
        <w:rPr>
          <w:rFonts w:ascii="Arial" w:cs="Arial" w:eastAsia="Arial" w:hAnsi="Arial"/>
          <w:sz w:val="19"/>
          <w:szCs w:val="19"/>
        </w:rPr>
        <w:t xml:space="preserve">The student can put a well-founded choice into words from at least two perspectives. (Weighing)</w:t>
      </w:r>
    </w:p>
    <w:p>
      <w:pPr>
        <w:keepNext/>
        <w:pBdr>
          <w:bottom w:val="single" w:color="5B2D8E" w:sz="8" w:space="2"/>
        </w:pBdr>
        <w:spacing w:after="90" w:before="200"/>
      </w:pPr>
      <w:r>
        <w:rPr>
          <w:rFonts w:ascii="Arial" w:cs="Arial" w:eastAsia="Arial" w:hAnsi="Arial"/>
          <w:b/>
          <w:bCs/>
          <w:color w:val="5B2D8E"/>
          <w:spacing w:val="30"/>
          <w:sz w:val="20"/>
          <w:szCs w:val="20"/>
        </w:rPr>
        <w:t xml:space="preserve">COMPLEXITY: WHY MICRO?</w:t>
      </w:r>
    </w:p>
    <w:p>
      <w:pPr>
        <w:spacing w:after="50" w:line="264"/>
      </w:pPr>
      <w:r>
        <w:rPr>
          <w:rFonts w:ascii="Arial" w:cs="Arial" w:eastAsia="Arial" w:hAnsi="Arial"/>
          <w:i/>
          <w:iCs/>
          <w:sz w:val="19"/>
          <w:szCs w:val="19"/>
        </w:rPr>
        <w:t xml:space="preserve">Micro: Yara chooses between loyalty to her friend and honesty towards her team leader, and can make that decision herself.</w:t>
      </w:r>
    </w:p>
    <w:p>
      <w:pPr>
        <w:pStyle w:val="ListParagraph"/>
        <w:numPr>
          <w:ilvl w:val="0"/>
          <w:numId w:val="2"/>
        </w:numPr>
        <w:spacing w:after="40" w:line="260"/>
      </w:pPr>
      <w:r>
        <w:rPr>
          <w:rFonts w:ascii="Arial" w:cs="Arial" w:eastAsia="Arial" w:hAnsi="Arial"/>
          <w:b/>
          <w:bCs/>
          <w:sz w:val="19"/>
          <w:szCs w:val="19"/>
        </w:rPr>
        <w:t xml:space="preserve">Test: </w:t>
      </w:r>
      <w:r>
        <w:rPr>
          <w:rFonts w:ascii="Arial" w:cs="Arial" w:eastAsia="Arial" w:hAnsi="Arial"/>
          <w:sz w:val="19"/>
          <w:szCs w:val="19"/>
        </w:rPr>
        <w:t xml:space="preserve">“Who or what would have to change for this dilemma to disappear?” Answer: Yara’s own choice. That is Micro.</w:t>
      </w:r>
    </w:p>
    <w:p>
      <w:pPr>
        <w:pStyle w:val="ListParagraph"/>
        <w:numPr>
          <w:ilvl w:val="0"/>
          <w:numId w:val="2"/>
        </w:numPr>
        <w:spacing w:after="40" w:line="260"/>
      </w:pPr>
      <w:r>
        <w:rPr>
          <w:rFonts w:ascii="Arial" w:cs="Arial" w:eastAsia="Arial" w:hAnsi="Arial"/>
          <w:b/>
          <w:bCs/>
          <w:sz w:val="19"/>
          <w:szCs w:val="19"/>
        </w:rPr>
        <w:t xml:space="preserve">Not Meso: </w:t>
      </w:r>
      <w:r>
        <w:rPr>
          <w:rFonts w:ascii="Arial" w:cs="Arial" w:eastAsia="Arial" w:hAnsi="Arial"/>
          <w:sz w:val="19"/>
          <w:szCs w:val="19"/>
        </w:rPr>
        <w:t xml:space="preserve">few people are involved and the consequences remain within the relationships with Lisa and Bas. Organisational rules play no significant role (decision rule 2).</w:t>
      </w:r>
    </w:p>
    <w:p>
      <w:pPr>
        <w:pStyle w:val="ListParagraph"/>
        <w:numPr>
          <w:ilvl w:val="0"/>
          <w:numId w:val="2"/>
        </w:numPr>
        <w:spacing w:after="40" w:line="260"/>
      </w:pPr>
      <w:r>
        <w:rPr>
          <w:rFonts w:ascii="Arial" w:cs="Arial" w:eastAsia="Arial" w:hAnsi="Arial"/>
          <w:b/>
          <w:bCs/>
          <w:sz w:val="19"/>
          <w:szCs w:val="19"/>
        </w:rPr>
        <w:t xml:space="preserve">Note: </w:t>
      </w:r>
      <w:r>
        <w:rPr>
          <w:rFonts w:ascii="Arial" w:cs="Arial" w:eastAsia="Arial" w:hAnsi="Arial"/>
          <w:sz w:val="19"/>
          <w:szCs w:val="19"/>
        </w:rPr>
        <w:t xml:space="preserve">do not let students look for a rule that makes the choice for them. That unintentionally shifts the dilemma to Meso.</w:t>
      </w:r>
    </w:p>
    <w:p>
      <w:pPr>
        <w:keepNext/>
        <w:pBdr>
          <w:bottom w:val="single" w:color="5B2D8E" w:sz="8" w:space="2"/>
        </w:pBdr>
        <w:spacing w:after="90" w:before="200"/>
      </w:pPr>
      <w:r>
        <w:rPr>
          <w:rFonts w:ascii="Arial" w:cs="Arial" w:eastAsia="Arial" w:hAnsi="Arial"/>
          <w:b/>
          <w:bCs/>
          <w:color w:val="5B2D8E"/>
          <w:spacing w:val="30"/>
          <w:sz w:val="20"/>
          <w:szCs w:val="20"/>
        </w:rPr>
        <w:t xml:space="preserve">PREPARATION AND PROCEDURE</w:t>
      </w:r>
    </w:p>
    <w:p>
      <w:pPr>
        <w:pStyle w:val="ListParagraph"/>
        <w:numPr>
          <w:ilvl w:val="0"/>
          <w:numId w:val="2"/>
        </w:numPr>
        <w:spacing w:after="40" w:line="260"/>
      </w:pPr>
      <w:r>
        <w:rPr>
          <w:rFonts w:ascii="Arial" w:cs="Arial" w:eastAsia="Arial" w:hAnsi="Arial"/>
          <w:b/>
          <w:bCs/>
          <w:sz w:val="19"/>
          <w:szCs w:val="19"/>
        </w:rPr>
        <w:t xml:space="preserve">Materials: </w:t>
      </w:r>
      <w:r>
        <w:rPr>
          <w:rFonts w:ascii="Arial" w:cs="Arial" w:eastAsia="Arial" w:hAnsi="Arial"/>
          <w:sz w:val="19"/>
          <w:szCs w:val="19"/>
        </w:rPr>
        <w:t xml:space="preserve">student version printed double-sided, pens, timer. Pairs or groups of 3–4. Allow 35 minutes. Suitable as a first introduction to weighing.</w:t>
      </w:r>
    </w:p>
    <w:p>
      <w:pPr>
        <w:pStyle w:val="ListParagraph"/>
        <w:numPr>
          <w:ilvl w:val="0"/>
          <w:numId w:val="2"/>
        </w:numPr>
        <w:spacing w:after="40" w:line="260"/>
      </w:pPr>
      <w:r>
        <w:rPr>
          <w:rFonts w:ascii="Arial" w:cs="Arial" w:eastAsia="Arial" w:hAnsi="Arial"/>
          <w:b/>
          <w:bCs/>
          <w:sz w:val="19"/>
          <w:szCs w:val="19"/>
        </w:rPr>
        <w:t xml:space="preserve">Role of the facilitator: </w:t>
      </w:r>
      <w:r>
        <w:rPr>
          <w:rFonts w:ascii="Arial" w:cs="Arial" w:eastAsia="Arial" w:hAnsi="Arial"/>
          <w:sz w:val="19"/>
          <w:szCs w:val="19"/>
        </w:rPr>
        <w:t xml:space="preserve">probe the word “good”: which value belongs to which option? Point out that both options are good.</w:t>
      </w:r>
    </w:p>
    <w:p>
      <w:pPr>
        <w:pStyle w:val="ListParagraph"/>
        <w:numPr>
          <w:ilvl w:val="0"/>
          <w:numId w:val="2"/>
        </w:numPr>
        <w:spacing w:after="40" w:line="260"/>
      </w:pPr>
      <w:r>
        <w:rPr>
          <w:rFonts w:ascii="Arial" w:cs="Arial" w:eastAsia="Arial" w:hAnsi="Arial"/>
          <w:b/>
          <w:bCs/>
          <w:sz w:val="19"/>
          <w:szCs w:val="19"/>
        </w:rPr>
        <w:t xml:space="preserve">Agreements beforehand: </w:t>
      </w:r>
      <w:r>
        <w:rPr>
          <w:rFonts w:ascii="Arial" w:cs="Arial" w:eastAsia="Arial" w:hAnsi="Arial"/>
          <w:sz w:val="19"/>
          <w:szCs w:val="19"/>
        </w:rPr>
        <w:t xml:space="preserve">students may share recognisable experiences of their own, but do not have to.</w:t>
      </w:r>
    </w:p>
    <w:p>
      <w:pPr>
        <w:keepNext/>
        <w:pBdr>
          <w:bottom w:val="single" w:color="5B2D8E" w:sz="8" w:space="2"/>
        </w:pBdr>
        <w:spacing w:after="90" w:before="200"/>
      </w:pPr>
      <w:r>
        <w:rPr>
          <w:rFonts w:ascii="Arial" w:cs="Arial" w:eastAsia="Arial" w:hAnsi="Arial"/>
          <w:b/>
          <w:bCs/>
          <w:color w:val="5B2D8E"/>
          <w:spacing w:val="30"/>
          <w:sz w:val="20"/>
          <w:szCs w:val="20"/>
        </w:rPr>
        <w:t xml:space="preserve">PITFALLS</w:t>
      </w:r>
    </w:p>
    <w:p>
      <w:pPr>
        <w:pStyle w:val="ListParagraph"/>
        <w:numPr>
          <w:ilvl w:val="0"/>
          <w:numId w:val="2"/>
        </w:numPr>
        <w:spacing w:after="40" w:line="260"/>
      </w:pPr>
      <w:r>
        <w:rPr>
          <w:rFonts w:ascii="Arial" w:cs="Arial" w:eastAsia="Arial" w:hAnsi="Arial"/>
          <w:sz w:val="19"/>
          <w:szCs w:val="19"/>
        </w:rPr>
        <w:t xml:space="preserve">Students choose on gut feeling straight away and use the tests afterwards as justification. Have them complete all three tests first.</w:t>
      </w:r>
    </w:p>
    <w:p>
      <w:pPr>
        <w:pStyle w:val="ListParagraph"/>
        <w:numPr>
          <w:ilvl w:val="0"/>
          <w:numId w:val="2"/>
        </w:numPr>
        <w:spacing w:after="40" w:line="260"/>
      </w:pPr>
      <w:r>
        <w:rPr>
          <w:rFonts w:ascii="Arial" w:cs="Arial" w:eastAsia="Arial" w:hAnsi="Arial"/>
          <w:sz w:val="19"/>
          <w:szCs w:val="19"/>
        </w:rPr>
        <w:t xml:space="preserve">The dilemma is seen as “right versus wrong” (lying is wrong). Ask which value makes keeping quiet good.</w:t>
      </w:r>
    </w:p>
    <w:p>
      <w:pPr>
        <w:pStyle w:val="ListParagraph"/>
        <w:numPr>
          <w:ilvl w:val="0"/>
          <w:numId w:val="2"/>
        </w:numPr>
        <w:spacing w:after="40" w:line="260"/>
      </w:pPr>
      <w:r>
        <w:rPr>
          <w:rFonts w:ascii="Arial" w:cs="Arial" w:eastAsia="Arial" w:hAnsi="Arial"/>
          <w:sz w:val="19"/>
          <w:szCs w:val="19"/>
        </w:rPr>
        <w:t xml:space="preserve">Students come up with a third option (letting Lisa talk to Bas). Appreciate this, but first complete the A/B choice.</w:t>
      </w:r>
    </w:p>
    <w:p>
      <w:pPr>
        <w:keepNext/>
        <w:pageBreakBefore/>
        <w:pBdr>
          <w:bottom w:val="single" w:color="5B2D8E" w:sz="8" w:space="2"/>
        </w:pBdr>
        <w:spacing w:after="90" w:before="200"/>
      </w:pPr>
      <w:r>
        <w:rPr>
          <w:rFonts w:ascii="Arial" w:cs="Arial" w:eastAsia="Arial" w:hAnsi="Arial"/>
          <w:b/>
          <w:bCs/>
          <w:color w:val="5B2D8E"/>
          <w:spacing w:val="30"/>
          <w:sz w:val="20"/>
          <w:szCs w:val="20"/>
        </w:rPr>
        <w:t xml:space="preserve">SUGGESTIONS FOR THE DEBRIEF</w:t>
      </w: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7306"/>
      </w:tblGrid>
      <w:tr>
        <w:tc>
          <w:tcPr>
            <w:tcW w:type="dxa" w:w="2600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shd w:fill="0F525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32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Clash</w:t>
            </w:r>
          </w:p>
        </w:tc>
        <w:tc>
          <w:tcPr>
            <w:tcW w:type="dxa" w:w="7306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shd w:fill="0F525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32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How it shows in the case</w:t>
            </w:r>
          </w:p>
        </w:tc>
      </w:tr>
      <w:tr>
        <w:tc>
          <w:tcPr>
            <w:tcW w:type="dxa" w:w="2600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shd w:fill="E6F1F1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32"/>
            </w:pPr>
            <w:r>
              <w:rPr>
                <w:rFonts w:ascii="Arial" w:cs="Arial" w:eastAsia="Arial" w:hAnsi="Arial"/>
                <w:b/>
                <w:bCs/>
                <w:color w:val="0F5257"/>
                <w:sz w:val="17"/>
                <w:szCs w:val="17"/>
              </w:rPr>
              <w:t xml:space="preserve">Truth ↔ loyalty</w:t>
            </w:r>
          </w:p>
        </w:tc>
        <w:tc>
          <w:tcPr>
            <w:tcW w:type="dxa" w:w="7306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32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Yara’s honesty towards Bas clashes with her promise to Lisa. This is the core of the dilemma.</w:t>
            </w:r>
          </w:p>
        </w:tc>
      </w:tr>
      <w:tr>
        <w:tc>
          <w:tcPr>
            <w:tcW w:type="dxa" w:w="2600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shd w:fill="E6F1F1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32"/>
            </w:pPr>
            <w:r>
              <w:rPr>
                <w:rFonts w:ascii="Arial" w:cs="Arial" w:eastAsia="Arial" w:hAnsi="Arial"/>
                <w:b/>
                <w:bCs/>
                <w:color w:val="0F5257"/>
                <w:sz w:val="17"/>
                <w:szCs w:val="17"/>
              </w:rPr>
              <w:t xml:space="preserve">Individual ↔ community</w:t>
            </w:r>
          </w:p>
        </w:tc>
        <w:tc>
          <w:tcPr>
            <w:tcW w:type="dxa" w:w="7306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32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Lisa’s trust stands against the team that relies on Bas’s planning.</w:t>
            </w:r>
          </w:p>
        </w:tc>
      </w:tr>
      <w:tr>
        <w:tc>
          <w:tcPr>
            <w:tcW w:type="dxa" w:w="2600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shd w:fill="E6F1F1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32"/>
            </w:pPr>
            <w:r>
              <w:rPr>
                <w:rFonts w:ascii="Arial" w:cs="Arial" w:eastAsia="Arial" w:hAnsi="Arial"/>
                <w:b/>
                <w:bCs/>
                <w:color w:val="0F5257"/>
                <w:sz w:val="17"/>
                <w:szCs w:val="17"/>
              </w:rPr>
              <w:t xml:space="preserve">Short term ↔ long term</w:t>
            </w:r>
          </w:p>
        </w:tc>
        <w:tc>
          <w:tcPr>
            <w:tcW w:type="dxa" w:w="7306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32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Keeping quiet now avoids trouble, but may later damage Bas’s trust in Yara.</w:t>
            </w:r>
          </w:p>
        </w:tc>
      </w:tr>
      <w:tr>
        <w:tc>
          <w:tcPr>
            <w:tcW w:type="dxa" w:w="2600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shd w:fill="E6F1F1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32"/>
            </w:pPr>
            <w:r>
              <w:rPr>
                <w:rFonts w:ascii="Arial" w:cs="Arial" w:eastAsia="Arial" w:hAnsi="Arial"/>
                <w:b/>
                <w:bCs/>
                <w:color w:val="0F5257"/>
                <w:sz w:val="17"/>
                <w:szCs w:val="17"/>
              </w:rPr>
              <w:t xml:space="preserve">Justice ↔ mercy</w:t>
            </w:r>
          </w:p>
        </w:tc>
        <w:tc>
          <w:tcPr>
            <w:tcW w:type="dxa" w:w="7306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32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Is it fair that Bas asks Yara this? And is it lenient towards Lisa to keep quiet?</w:t>
            </w:r>
          </w:p>
        </w:tc>
      </w:tr>
    </w:tbl>
    <w:p>
      <w:pPr>
        <w:keepNext/>
        <w:pBdr>
          <w:bottom w:val="single" w:color="5B2D8E" w:sz="8" w:space="2"/>
        </w:pBdr>
        <w:spacing w:after="90" w:before="200"/>
      </w:pPr>
      <w:r>
        <w:rPr>
          <w:rFonts w:ascii="Arial" w:cs="Arial" w:eastAsia="Arial" w:hAnsi="Arial"/>
          <w:b/>
          <w:bCs/>
          <w:color w:val="5B2D8E"/>
          <w:spacing w:val="30"/>
          <w:sz w:val="20"/>
          <w:szCs w:val="20"/>
        </w:rPr>
        <w:t xml:space="preserve">VARIATIONS AND DIFFERENTIATION</w:t>
      </w:r>
    </w:p>
    <w:p>
      <w:pPr>
        <w:pStyle w:val="ListParagraph"/>
        <w:numPr>
          <w:ilvl w:val="0"/>
          <w:numId w:val="2"/>
        </w:numPr>
        <w:spacing w:after="40" w:line="260"/>
      </w:pPr>
      <w:r>
        <w:rPr>
          <w:rFonts w:ascii="Arial" w:cs="Arial" w:eastAsia="Arial" w:hAnsi="Arial"/>
          <w:b/>
          <w:bCs/>
          <w:sz w:val="19"/>
          <w:szCs w:val="19"/>
        </w:rPr>
        <w:t xml:space="preserve">Shorter (25 min): </w:t>
      </w:r>
      <w:r>
        <w:rPr>
          <w:rFonts w:ascii="Arial" w:cs="Arial" w:eastAsia="Arial" w:hAnsi="Arial"/>
          <w:sz w:val="19"/>
          <w:szCs w:val="19"/>
        </w:rPr>
        <w:t xml:space="preserve">skip step 5 and discuss in plenary.</w:t>
      </w:r>
    </w:p>
    <w:p>
      <w:pPr>
        <w:pStyle w:val="ListParagraph"/>
        <w:numPr>
          <w:ilvl w:val="0"/>
          <w:numId w:val="2"/>
        </w:numPr>
        <w:spacing w:after="40" w:line="260"/>
      </w:pPr>
      <w:r>
        <w:rPr>
          <w:rFonts w:ascii="Arial" w:cs="Arial" w:eastAsia="Arial" w:hAnsi="Arial"/>
          <w:b/>
          <w:bCs/>
          <w:sz w:val="19"/>
          <w:szCs w:val="19"/>
        </w:rPr>
        <w:t xml:space="preserve">Online: </w:t>
      </w:r>
      <w:r>
        <w:rPr>
          <w:rFonts w:ascii="Arial" w:cs="Arial" w:eastAsia="Arial" w:hAnsi="Arial"/>
          <w:sz w:val="19"/>
          <w:szCs w:val="19"/>
        </w:rPr>
        <w:t xml:space="preserve">use a shared document with the two tables.</w:t>
      </w:r>
    </w:p>
    <w:p>
      <w:pPr>
        <w:pStyle w:val="ListParagraph"/>
        <w:numPr>
          <w:ilvl w:val="0"/>
          <w:numId w:val="2"/>
        </w:numPr>
        <w:spacing w:after="40" w:line="260"/>
      </w:pPr>
      <w:r>
        <w:rPr>
          <w:rFonts w:ascii="Arial" w:cs="Arial" w:eastAsia="Arial" w:hAnsi="Arial"/>
          <w:b/>
          <w:bCs/>
          <w:sz w:val="19"/>
          <w:szCs w:val="19"/>
        </w:rPr>
        <w:t xml:space="preserve">Large group: </w:t>
      </w:r>
      <w:r>
        <w:rPr>
          <w:rFonts w:ascii="Arial" w:cs="Arial" w:eastAsia="Arial" w:hAnsi="Arial"/>
          <w:sz w:val="19"/>
          <w:szCs w:val="19"/>
        </w:rPr>
        <w:t xml:space="preserve">after step 4, let students choose physically (corner keep quiet / corner speak up).</w:t>
      </w:r>
    </w:p>
    <w:p>
      <w:pPr>
        <w:pStyle w:val="ListParagraph"/>
        <w:numPr>
          <w:ilvl w:val="0"/>
          <w:numId w:val="2"/>
        </w:numPr>
        <w:spacing w:after="40" w:line="260"/>
      </w:pPr>
      <w:r>
        <w:rPr>
          <w:rFonts w:ascii="Arial" w:cs="Arial" w:eastAsia="Arial" w:hAnsi="Arial"/>
          <w:b/>
          <w:bCs/>
          <w:sz w:val="19"/>
          <w:szCs w:val="19"/>
        </w:rPr>
        <w:t xml:space="preserve">Higher education (this version): </w:t>
      </w:r>
      <w:r>
        <w:rPr>
          <w:rFonts w:ascii="Arial" w:cs="Arial" w:eastAsia="Arial" w:hAnsi="Arial"/>
          <w:sz w:val="19"/>
          <w:szCs w:val="19"/>
        </w:rPr>
        <w:t xml:space="preserve">at least two ethical perspectives and a well-founded choice. For vocational education: CEFR B1 language and one question per step. For research universities: name and critique theories explicitly.</w:t>
      </w:r>
    </w:p>
    <w:p>
      <w:pPr>
        <w:keepNext/>
        <w:pBdr>
          <w:bottom w:val="single" w:color="5B2D8E" w:sz="8" w:space="2"/>
        </w:pBdr>
        <w:spacing w:after="90" w:before="200"/>
      </w:pPr>
      <w:r>
        <w:rPr>
          <w:rFonts w:ascii="Arial" w:cs="Arial" w:eastAsia="Arial" w:hAnsi="Arial"/>
          <w:b/>
          <w:bCs/>
          <w:color w:val="5B2D8E"/>
          <w:spacing w:val="30"/>
          <w:sz w:val="20"/>
          <w:szCs w:val="20"/>
        </w:rPr>
        <w:t xml:space="preserve">REFERENCES (APA 7)</w:t>
      </w:r>
    </w:p>
    <w:p>
      <w:pPr>
        <w:spacing w:after="40" w:line="240"/>
        <w:ind w:left="360" w:hanging="360"/>
      </w:pPr>
      <w:r>
        <w:rPr>
          <w:rFonts w:ascii="Arial" w:cs="Arial" w:eastAsia="Arial" w:hAnsi="Arial"/>
          <w:color w:val="333333"/>
          <w:sz w:val="16"/>
          <w:szCs w:val="16"/>
        </w:rPr>
        <w:t xml:space="preserve">Creative Commons. (n.d.). About CC licenses. https://creativecommons.org/share-your-work/cclicenses/</w:t>
      </w:r>
    </w:p>
    <w:p>
      <w:pPr>
        <w:spacing w:after="40" w:line="240"/>
        <w:ind w:left="360" w:hanging="360"/>
      </w:pPr>
      <w:r>
        <w:rPr>
          <w:rFonts w:ascii="Arial" w:cs="Arial" w:eastAsia="Arial" w:hAnsi="Arial"/>
          <w:color w:val="333333"/>
          <w:sz w:val="16"/>
          <w:szCs w:val="16"/>
        </w:rPr>
        <w:t xml:space="preserve">Kidder, R. M. (1995). How good people make tough choices: Resolving the dilemmas of ethical living. William Morrow.</w:t>
      </w:r>
    </w:p>
    <w:p>
      <w:pPr>
        <w:spacing w:after="40" w:line="240"/>
        <w:ind w:left="360" w:hanging="360"/>
      </w:pPr>
      <w:r>
        <w:rPr>
          <w:rFonts w:ascii="Arial" w:cs="Arial" w:eastAsia="Arial" w:hAnsi="Arial"/>
          <w:color w:val="333333"/>
          <w:sz w:val="16"/>
          <w:szCs w:val="16"/>
        </w:rPr>
        <w:t xml:space="preserve">Meijer, K. (2023). Impossible and inevitable: Reconstructing the critique of business ethics [Doctoral dissertation, Tilburg University]. Ridderprint.</w:t>
      </w:r>
    </w:p>
    <w:p>
      <w:pPr>
        <w:spacing w:after="0" w:before="40"/>
      </w:pPr>
      <w:r>
        <w:rPr>
          <w:rFonts w:ascii="Arial" w:cs="Arial" w:eastAsia="Arial" w:hAnsi="Arial"/>
          <w:i/>
          <w:iCs/>
          <w:color w:val="5F5E5A"/>
          <w:sz w:val="15"/>
          <w:szCs w:val="15"/>
        </w:rPr>
        <w:t xml:space="preserve">Complexity determined using the research group’s working definition, based on the micro-meso-macro thinking of Meijer (2023).</w:t>
      </w:r>
    </w:p>
    <w:sectPr>
      <w:headerReference w:type="default" r:id="rId7"/>
      <w:footerReference w:type="default" r:id="rId8"/>
      <w:headerReference w:type="first" r:id="rId10"/>
      <w:footerReference w:type="first" r:id="rId11"/>
      <w:pgSz w:w="11906" w:h="16838" w:orient="portrait"/>
      <w:pgMar w:top="1250" w:right="1000" w:bottom="900" w:left="1000" w:header="500" w:footer="400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BFC5CC" w:sz="4" w:space="4"/>
      </w:pBdr>
      <w:spacing w:before="60"/>
    </w:pPr>
    <w:r>
      <w:rPr>
        <w:rFonts w:ascii="Arial" w:cs="Arial" w:eastAsia="Arial" w:hAnsi="Arial"/>
        <w:i/>
        <w:iCs/>
        <w:color w:val="5F5E5A"/>
        <w:sz w:val="14"/>
        <w:szCs w:val="14"/>
      </w:rPr>
      <w:t xml:space="preserve">Method based on: right-versus-right analysis (Kidder, 1995). Adaptation and case: Moral Craftsmanship, moralcraftsmanship.com. Licence: CC BY-SA 4.0 – https://creativecommons.org/licenses/by-sa/4.0/deed.en</w:t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tabs>
        <w:tab w:val="right" w:pos="9906"/>
      </w:tabs>
      <w:spacing w:after="60"/>
    </w:pPr>
    <w:r>
      <w:rPr>
        <w:rFonts w:ascii="Arial" w:cs="Arial" w:eastAsia="Arial" w:hAnsi="Arial"/>
        <w:b/>
        <w:bCs/>
        <w:color w:val="5F5E5A"/>
        <w:spacing w:val="20"/>
        <w:sz w:val="15"/>
        <w:szCs w:val="15"/>
      </w:rPr>
      <w:t xml:space="preserve">MORAL CRAFTSMANSHIP · RESEARCH GROUP ETHICAL PRACTICE · TEACHER VERSION</w:t>
    </w:r>
    <w:r>
      <w:rPr>
        <w:rFonts w:ascii="Arial" w:cs="Arial" w:eastAsia="Arial" w:hAnsi="Arial"/>
      </w:rPr>
      <w:tab/>
    </w:r>
    <w:r>
      <w:drawing>
        <wp:inline distT="0" distB="0" distL="0" distR="0">
          <wp:extent cx="838200" cy="476250"/>
          <wp:effectExtent t="0" r="0" b="0" l="0"/>
          <wp:docPr id="1" name="logo" descr="Fontys logo" title="Fontys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838200" cy="476250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00" w:hanging="400"/>
      </w:pPr>
      <w:rPr>
        <w:rFonts w:ascii="Arial" w:cs="Arial" w:eastAsia="Arial" w:hAnsi="Arial"/>
        <w:b/>
        <w:bCs/>
        <w:color w:val="5B2D8E"/>
      </w:r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60" w:hanging="260"/>
      </w:pPr>
      <w:rPr>
        <w:rFonts w:ascii="Arial" w:cs="Arial" w:eastAsia="Arial" w:hAnsi="Arial"/>
        <w:color w:val="5B2D8E"/>
      </w:rPr>
    </w:lvl>
  </w:abstractNum>
  <w:num w:numId="1">
    <w:abstractNumId w:val="1"/>
    <w:lvlOverride w:ilvl="0">
      <w:startOverride w:val="1"/>
    </w:lvlOverride>
  </w:num>
  <w:num w:numId="2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19"/>
        <w:szCs w:val="19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Relationship Id="rId10" Type="http://schemas.openxmlformats.org/officeDocument/2006/relationships/header" Target="header2.xml"/><Relationship Id="rId11" Type="http://schemas.openxmlformats.org/officeDocument/2006/relationships/footer" Target="footer2.xml"/></Relationships>
</file>

<file path=word/_rels/header1.xml.rels><?xml version='1.0' encoding='UTF-8' standalone='yes'?>
<Relationships xmlns="http://schemas.openxmlformats.org/package/2006/relationships"><Relationship Id="rId0" Type="http://schemas.openxmlformats.org/officeDocument/2006/relationships/image" Target="media/bf0743bdfa2aebd701f32a08f734a4287c2ee9cc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MW12 Keep quiet or speak up? (Higher education HRM, EN, teacher version)</dc:title>
  <dc:creator>Moreel Vakmanschap</dc:creator>
  <cp:lastModifiedBy>Moral Craftsmanship</cp:lastModifiedBy>
  <cp:revision>1</cp:revision>
  <dcterms:created xsi:type="dcterms:W3CDTF">2026-09-29T09:46:53.224Z</dcterms:created>
  <dcterms:modified xsi:type="dcterms:W3CDTF">2026-09-29T09:46:53.224Z</dcterms:modified>
  <dc:language>en-GB</dc:language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